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85 vom 2. April 2015</w:t>
      </w:r>
    </w:p>
    <w:p>
      <w:r>
        <w:t>VD Tribunal cantonal, 2015-04-02, FR</w:t>
      </w:r>
    </w:p>
    <w:p>
      <w:r>
        <w:rPr>
          <w:b/>
        </w:rPr>
        <w:t xml:space="preserve">Quelle: </w:t>
      </w:r>
      <w:r>
        <w:t>https://mcp.opencaselaw.ch/entscheid/vd_findinfo_ML___2015___85</w:t>
      </w:r>
    </w:p>
    <w:p>
      <w:r>
        <w:t>FR: VD_FINDINFO ML / 2015 / 85 du 2 avril 2015</w:t>
      </w:r>
    </w:p>
    <w:p>
      <w:r>
        <w:t>IT: VD_FINDINFO ML / 2015 / 85 del 2 aprile 2015</w:t>
      </w:r>
    </w:p>
    <w:p>
      <w:pPr>
        <w:pStyle w:val="Heading2"/>
      </w:pPr>
      <w:r>
        <w:t>Regeste</w:t>
      </w:r>
    </w:p>
    <w:p>
      <w:r>
        <w:t>PRÊT DE CONSOMMATION, MAINLEVÉE PROVISOIRE, TITRE DE MAINLEVÉE, EXIGIBILITÉ | 318 CO, 82 al. 1 LP, 106 al. 2 CPC (CH)</w:t>
      </w:r>
    </w:p>
    <w:p>
      <w:pPr>
        <w:pStyle w:val="Heading2"/>
      </w:pPr>
      <w:r>
        <w:t>Erwägungen</w:t>
      </w:r>
    </w:p>
    <w:p>
      <w:r>
        <w:rPr>
          <w:b/>
        </w:rPr>
        <w:t>E. 14</w:t>
      </w:r>
    </w:p>
    <w:p>
      <w:r>
        <w:t>août 2013/320 précité; CPF, 9 février 2012/117; CPF, 26 novembre 2009/413). b) Le recourant admet que la pièce 2 produite par l'intimée est une reconnaissance de dette au sens de l'art. 82 LP, dès lors qu'il s'est engagé dans ce document à restituer la somme de 4'000 fr. jusqu'au 8 juin 2009. En revanche, pour les autres montants, il invoque une violation de l’art. 82 LP. Les pièces 3 à 5 ne seraient pas des reconnaissances de dettes, car elles ne contiennent aucun engagement de sa part de rembourser les sommes reçues. Il s’agirait de simples "quittances", qui "ne sauraient donc être assimilées à des titres de mainlevée de par la simple mention qu’un prêt a été conclu entre les parties". La pièce 4 ne mentionne d'ailleurs pas un prêt, mais uniquement que l'intimée a "mis à disposition" du recourant une somme de 5'000 francs. En outre, d’après l’arrêt du Tribunal fédéral 5A_303/2013, l’exigibilité de la créance devrait résulter de la reconnaissance de dette. En l’occurrence, ce serait donc à tort que le premier juge aurait appliqué "les règles dispositives du droit civil". L’intimée n’ayant pas démontré par d’autres pièces qu’il existait une obligation de remboursement ni que celle-ci était exigible au moment de la poursuite, la requête de mainlevée aurait dû être rejetée à concurrence des montants de 2'000 fr., 5'000 fr. et 16'000 francs. L’intimée conteste cette argumentation. Elle fait d’abord valoir que le passage de l’arrêt cité par le recourant, selon lequel le juge de la mainlevée ne doit pas compléter un acte en s’inspirant des règles dispositives du droit civil, est sorti de son contexte. Il concernerait une reconnaissance de dette conditionnelle, les parties ayant subordonné le remboursement du prêt à l’avènement d’une condition. Ainsi, lorsque le Tribunal fédéral a dit dans cet arrêt qu’il ne fallait pas appliquer l’art. 318 CO, il n’a pas posé un principe général, mais raisonné dans le cas d’espèce où le poursuivant aurait dû prouver la survenance d’une condition dont dépendait l’exigibilité. En l'occurrence, le remboursement des prêts de 2'000 fr., 5'000 fr. et 16'000 fr. ne serait pas conditionné, et serait donc exigible. c) aa) En l’espèce, il faut d’abord constater que le recours ne porte pas sur le montant de 4'000 fr., plus intérêt au taux de 5 % l’an dès le 9 juin 2009, pour lequel le recourant admet dans ses conclusions que la mainlevée soit prononcée. Ainsi, même si l’intérêt moratoire a été alloué à partir d'une date antérieure à celle indiquée dans le commandement de payer, cette erreur ne peut pas être corrigée. bb) Les pièces produites sous chiffres 3 et 5 établissent l’existence d’un prêt entre les parties pour les montants de 2'000 fr., remis le 25 mars 2009, et de  16'000 fr., remis le 17 juillet 2009. Contrairement à ce que soutient le recourant, il importe peu que ces documents ne mentionnent pas l’obligation de restitution. En effet, par définition, le prêt de consommation, régi par les art. 312 ss CO, exige qu'une des parties contractantes se soit engagée à transférer la propriété d'une chose fongible - le plus souvent de l'argent - pour une certaine durée à l'autre partie, à charge pour celle-ci de la restituer (ATF 131 III 268, c. 4.2; Higi, Zürcher Kommentar, n. 20-22 ad art. 312 OR [CO]; Schärer/Maurenbrecher, Basler Kommentar, n. 1 ad art. 312 OR [CO]; Bovet, Commentaire romand, n. 2-4 ad art. 312 CO). La mention de l’existence d’un prêt entre les parties et de la remise du montant à l’emprunteur suffit donc à déduire l’existence d’une obligation de restituer. Quant à l’exigibilité de l’obligation de restituer le montant prêté, il n’est pas nécessaire qu’elle figure dans le titre de mainlevée, comme le soutient le recourant. En effet, de jurisprudence constante (cf. supra c. IIa)), lorsque le prêt ne comporte aucun terme pour le remboursement ni délai d'avertissement, l’exigibilité du remboursement est soumise à l'avertissement de six semaines prévu à l'art. 318 CO. C’est en vain que le recourant se fonde sur un arrêt qui, comme le relève justement l’intimée, concerne un prêt dont le remboursement était soumis à une condition, condition dont le créancier poursuivant n’avait pas prouvé l’avènement. En l’espèce, l'intimée a mis plusieurs fois en demeure aussi bien la société S.________SA que le recourant de lui restituer des montants qu’elle leur avait prêtés. Ainsi, le 12 août 2011, par son précédent conseil Me Villa, elle a imparti au recourant un délai au 30 septembre 2011 pour lui restituer, notamment, les montants de "2'500 fr." (sic), remis le 25 mars 2009, et de 16'000 fr., remis le 17 juillet 2009, ainsi que tous les autres montants qu’elle lui avait prêtés à titre personnel. En outre, Me Halpérin, dans sa lettre du 9 décembre 2013, a confirmé les dénonciations des prêts en cause, notamment celles émises par Me Villa. Il faut ainsi en déduire que le délai de six semaines de l’art. 318 CO était échu au 30 septembre 2011, jour précédent la date de départ des intérêts moratoires retenue dans le prononcé. Les montants de 2'000 fr. et 16'000 fr. étaient donc exigibles à la date de la réquisition de poursuite, en mai 2014. En tant qu’il concerne ces deux montants, le recours est mal fondé et doit être rejeté. cc) En revanche, comme le relève le recourant, la pièce 4 produite, qui mentionne la simple "mise à disposition" du recourant par l'intimée d’un montant de 5'000 fr. pour les paiements du château, ne constitue pas un contrat de prêt, cette cause n’étant pas indiquée, ni une reconnaissance de dette, dès lors que le recourant ne reconnaît pas devoir ce montant. Sur ce point, le recours est bien fondé. III. En conclusion, le recours doit être partiellement admis et le prononcé réformé en ce sens que l’opposition à la poursuite en cause est provisoirement levée à concurrence – en plus de 4'000 fr., plus intérêt au taux de 5 % l'an dès le 9 juin 2009 – de 2'000 fr., avec intérêt au taux de 5 % l’an dès le 1 er octobre 2011, et de 16'000 fr., avec intérêt au taux de 5 % l’an dès le 1 er octobre 2011, et maintenue pour le surplus. En première instance, le poursuivi succombe relativement à trois montants réclamés en poursuite sur quatre, ce qui entraîne, pour la répartition des frais, arrêtés à 360 fr., l'application de l'art. 106 al. 2 CPC. Le poursuivi doit par conséquent rembourser à la poursuivante les trois quarts des frais judiciaires, par 270 fr., celle-ci supportant le dernier quart, par 90 francs. En outre, il lui doit des dépens réduits d’un quart, qu’il convient d’arrêter à 1'125 fr. (1'500 fr. – 375 fr.) (art. 6 TDC [tarif des dépens en matière civile; RSV 270.11.6]). En deuxième instance, le recourant succombe relativement à deux des trois montants encore litigieux. Les frais judiciaires de deuxième instance, arrêtés à 570 fr., doivent être mis à sa charge à concurrence de deux tiers, par 380 fr., et à la charge de l’intimée pour un tiers, par 190 fr. (art. 106 al. 2 CPC). L’intimée, dont le conseil professionnel a déposé une réponse, a droit à des dépens de deuxième instance, réduits d’un tiers, qu’il convient de fixer à 600 fr. (900 fr. – 300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