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75 vom 7. April 2015</w:t>
      </w:r>
    </w:p>
    <w:p>
      <w:r>
        <w:t>VD Tribunal cantonal, 2015-04-07, FR</w:t>
      </w:r>
    </w:p>
    <w:p>
      <w:r>
        <w:rPr>
          <w:b/>
        </w:rPr>
        <w:t xml:space="preserve">Quelle: </w:t>
      </w:r>
      <w:r>
        <w:t>https://mcp.opencaselaw.ch/entscheid/vd_findinfo_ML___2015___75</w:t>
      </w:r>
    </w:p>
    <w:p>
      <w:r>
        <w:t>FR: VD_FINDINFO ML / 2015 / 75 du 7 avril 2015</w:t>
      </w:r>
    </w:p>
    <w:p>
      <w:r>
        <w:t>IT: VD_FINDINFO ML / 2015 / 75 del 7 aprile 2015</w:t>
      </w:r>
    </w:p>
    <w:p>
      <w:pPr>
        <w:pStyle w:val="Heading2"/>
      </w:pPr>
      <w:r>
        <w:t>Regeste</w:t>
      </w:r>
    </w:p>
    <w:p>
      <w:r>
        <w:t>DÉCISION D'IRRECEVABILITÉ, MOTIVATION DE LA DEMANDE | 321 al. 1 CPC (CH)</w:t>
      </w:r>
    </w:p>
    <w:p>
      <w:pPr>
        <w:pStyle w:val="Heading2"/>
      </w:pPr>
      <w:r>
        <w:t>Volltext</w:t>
      </w:r>
    </w:p>
    <w:p>
      <w:r>
        <w:t>Vaud Tribunal cantonal Cour des poursuites et faillites 07.04.2015 ML / 2015 / 75</w:t>
      </w:r>
    </w:p>
    <w:p>
      <w:r>
        <w:t>DÉCISION D'IRRECEVABILITÉ, MOTIVATION DE LA DEMANDE | 321 al. 1 CPC (CH)</w:t>
      </w:r>
    </w:p>
    <w:p>
      <w:r>
        <w:t>TRIBUNAL CANTONAL KC14.039026-150499 114 Cour des poursuites et faillites ________________________________________________ Arrêt du 7 avril 2015 _________________ Composition :              Mme Rouleau , présidente Mme Byrde et M. Maillard, juges Greffier : M.              Elsig ***** Art. 321 al. 1 CPC Vu le prononcé rendu le 8 décembre 2014, à la suite de l’interpellation du poursuivi, par la Juge de paix du district du Jura-Nord vaudois, prononçant la mainlevée définitive, à concurrence de 525 fr., de l’opposition formée par O.________ , à [...], à la poursuite n° 7'107'916 de l’Office des poursuites du district du Jura-Nord vaudois exercée contre lui par l’ Etat de Vaud , représenté par le Département des institutions et de la sécurité, Service juridique et législatif, Secteur recouvrement – Notes de frais pénaux , à Lausanne, vu la notification du dispositif de cette décision au poursuivi le 9 décembre 2014, vu l’opposition non motivée formée le 12 décembre 2014 par le poursuivi contre ce prononcé, vu le prononcé motivé adressé pour notification aux parties le 26 février 2015 et reçu par le poursuivi le 27 février 2015,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l’opposition adressée le 12 décembre 2014 au Juge de paix du district du Jura-Nord vaudois, considérée comme un recours, a ainsi été déposée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qu'il suffit que la motivation du recours permette de comprendre ce que le recourant veut obtenir, faute de quoi l'intérêt au recours n'est pas démontré (CPF 2011/548 précité; CPF, 7 février 2012/33; CPF, 20 mars 2014/100), que l'instance de recours doit ainsi pouvoir comprendre ce qui est reproché au premier juge sans avoir à rechercher des griefs par elle-même, ce qui exige une certaine précision quant à l'énoncé et à la discussion des griefs (CREC, 11 mai 2012/173), qu’en l’espèce, l’opposition déposée le 12 décembre 2014 ne contient aucun grief, motif ou moyen de recours reconnaissable contre la décision de mainlevée, que le recourant n'a pas déposé d'autre acte après réception de la décision de mainlevée motivée,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déposé le 12 décembre 2014,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M. O.________, ‑ Département des institutions et de la sécurité, Service juridique et législatif, Secteur recouvrement – Notes de frais pénaux (pour Etat de Vaud). La Cour des poursuites et faillites considère que la valeur litigieuse est de 525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