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58 vom 17. März 2015</w:t>
      </w:r>
    </w:p>
    <w:p>
      <w:r>
        <w:t>VD Tribunal cantonal, 2015-03-17, FR</w:t>
      </w:r>
    </w:p>
    <w:p>
      <w:r>
        <w:rPr>
          <w:b/>
        </w:rPr>
        <w:t xml:space="preserve">Quelle: </w:t>
      </w:r>
      <w:r>
        <w:t>https://mcp.opencaselaw.ch/entscheid/vd_findinfo_ML___2015___58</w:t>
      </w:r>
    </w:p>
    <w:p>
      <w:r>
        <w:t>FR: VD_FINDINFO ML / 2015 / 58 du 17 mars 2015</w:t>
      </w:r>
    </w:p>
    <w:p>
      <w:r>
        <w:t>IT: VD_FINDINFO ML / 2015 / 58 del 17 marzo 2015</w:t>
      </w:r>
    </w:p>
    <w:p>
      <w:pPr>
        <w:pStyle w:val="Heading2"/>
      </w:pPr>
      <w:r>
        <w:t>Regeste</w:t>
      </w:r>
    </w:p>
    <w:p>
      <w:r>
        <w:t>SOLIDARITÉ PASSIVE, CAUTIONNEMENT, FORME AUTHENTIQUE, NULLITÉ, MAINLEVÉE PROVISOIRE, COBAILLEUR | 143 al. 1 CO, 143 CO, 492 CO, 82 al. 1 LP</w:t>
      </w:r>
    </w:p>
    <w:p>
      <w:pPr>
        <w:pStyle w:val="Heading2"/>
      </w:pPr>
      <w:r>
        <w:t>Erwägungen</w:t>
      </w:r>
    </w:p>
    <w:p>
      <w:r>
        <w:rPr>
          <w:b/>
        </w:rPr>
        <w:t>E. 28</w:t>
      </w:r>
    </w:p>
    <w:p>
      <w:r>
        <w:t>février 2012 c. 3.2.2; CPF, 25 novembre 2010/452 et les réf. citées ; Staehelin, Basler Kommentar, 2 e éd., nn. 87 à 89 ad art. 82 LP et les réf. citées). Parmi les moyens libératoires figurent ceux que le juge peut ou doit relever d'office, notamment ceux de la violation de règles impératives prescrites à peine de nullité, en particulier les règles de formes imposées par l'art. 493 CO pour la validité d'un acte de cautionnement (TF 5A_849/2012 et les réf. citées; Gilliéron, op. cit., nn. 75 et 81 ad art. 82 LP). Lorsque plusieurs personnes s’engagent ensemble et déclarent s’obliger de manière qu’à l’égard du créancier, chacune d’elles pourra être recherchée pour le tout, elles souscrivent un engagement solidaire (art. 143 al. 1 CO). Le seul fait qu’un engagement ait été pris en commun ne fait toutefois pas présumer de la solidarité, mais une manifestation tacite de la volonté de s’obliger solidairement suffit (ATF 49 III 205, JT 1925 II 18). L’engagement solidaire est dit reprise cumulative de dette si l’engagement est pris alors que le débiteur s’est déjà engagé. Il se distingue d’autres formes de garanties, en particulier du cautionnement.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(ATF 129 III 702 c. 2.1, JT 2004 I 535 ; ATF 113 II 434 c. 2a, JT 1988 I 185 ; ATF 111 II 276 c. 2b, rés. in JT 1986 I 255). Le cautionnement, comme la reprise de dette, renforce la position du créancier et repose souvent dans cette mesure sur des considérations identiques. Il diffère cependant quant aux conditions de forme. Alors que le contrat sur lequel repose la solidarité passive n’est soumis à aucune forme (ATF 129 III 702 c. 2.1, JT 2004 I 5365 ; TF 4C.24/2007, c. 5), la déclaration de cautionnement, lorsque la caution est une personne physique et que le cautionnement dépasse la somme de 2'000 fr., doit revêtir la forme authentique, sous peine de nullité (art. 493 al. 2 CO).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La distinction entre le cautionnement, de caractère accessoire, et la reprise cumulative de dette, engagement de nature indépendante, réside en ceci que le reprenant ou codébiteur solidaire a d’ordinaire un intérêt propre et reconnaissable à l’affaire conclue et pas seulement un intérêt à garantir le paiement de la dette primitive (ATF 129 III 702, JT 2004 I 535, c. 2.2 et 2.6). Pour qualifier un contrat, comme pour l'interpréter, le juge doit recourir en premier lieu à l'interprétation dite subjective, c'est-à-dire rechercher la « réelle et commune intention des parties », le cas échéant empiriquement, sur la base d'indices (art. 18 al. 1 CO ; ATF 131 III 606 c. 4.1, rés. in JT 2006 I 126 ; ATF 125 III 305 c. 2b,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c. 4.1, rés. in JT 2006 I 126 ; ATF 129 III 702 c. 2.4, JT 2004 I 535). Dans l'application de ce principe, le juge n'est pas lié par les termes que les parties ont utilisés lors de la rédaction de leur accord. Une interprétation littérale stricte ne se justifie par conséquent que lorsque les parties sont rompues à l'usage de ces termes, ou qu'elles sont au bénéfice d'une formation juridique (Tercier/Favre/Eigemann, Les contrats spéciaux, 4 e éd., n° 7184, et les réf. citées). En cas de doute sur la nature de l'engagement, le cautionnement a la préférence, compte tenu du but de protection dévolu aux art. 492 ss CO (ATF 129 III 702 c. 2.5, JT 2004 I 535 ; TF 4C.274/2001 du 9 avril 2002 c. 3 et les réf. citées, SJ 2002 I 574 ; ATF 113 II 434 c. 2c, JT 1988 I 185). Ainsi, en matière de bail, si un tiers s’engage dans le contrat bail sous l’intitulé «solidairement responsable» les parties sont débitrices solidaires (art. 143 al. 1 CO) uniquement si l’accord conclu atteste que le garant connaissait réellement la portée de son engagement et s’il révèle les motifs qui ont détourné les parties de conclure un cautionnement, ou, à défaut, si le tiers, en raison de sa formation ou de ses activités, est rompue au contrat de sûreté et connaît le vocabulaire juridique suisse usité dans le domaine, ou encore si le garant à un intérêt direct et matériel dans le contrat de bail et que le bailleur en a connaissance et peut comprendre le motif pour lequel le garant se déclare prêt a assumer une obligation identique aux locataires. À défaut, la clause doit être interprétée comme un cautionnement (Bohnet/Dietschy, Commentaire pratique, Droit du bail à loyer, n° 42 ad 253 CO et les réf. citées). b) En l’espèce, le recourant a signé le contrat de bail en qualité de «codébiteur solidaire». Le contrat ne permet toutefois pas de déterminer pour quels motifs les parties auraient volontairement renoncé à conclure un cautionnement. Par ailleurs, rien ne permet de considérer que le recourant dispose d’une connaissance particulière du vocabulaire juridique. Il ressort enfin et surtout du dossier que ce dernier n’a vraisemblablement jamais occupé l’appartement litigieux : selon l’attestation délivrée par le contrôle des habitants de Lausanne le 30 juillet 2014, le recourant est en effet domicilié au chemin [...] à [...] Lausanne depuis le 15 avril 2005 ; c’est au demeurant à cette adresse que l’intimé lui a adressé une copie du courrier adressé à X.________ et B.Z.________ le 5 mai 2014. Dans ces circonstances, il n’apparaît pas que le poursuivi ait eu un intérêt propre et reconnaissable à la conclusion du contrat de bail (dans ce sens également CPF 30 juin 2014/240). Il s’ensuit que l’engagement du recourant peut, au stade de la vraisemblance en tous cas, être considéré comme un cautionnement. Dans la mesure où il porte sur un montant supérieur à 2’000 fr., il aurait dû revêtir la forme authentique. Faute de respecter cette forme, l’engagement du recourant est nul. La mainlevée aurait ainsi dû être refusée. IV. Au vu de ce qui précède, le recours est admis et le prononcé réformé en ce sens que l’opposition formée par le recourant au commandement de payer est maintenue. Les frais judiciaires de première instance sont laissés à la charge de la poursuivante. Il n’y a pas lieu d’allouer de dépens de première instance, le poursuivi ayant procédé seul. Les frais de deuxième instance, arrêtés à 510 fr., sont mis à la charge de l’intimée qui succombe. Le recourant a en outre droit à des dépens arrêtés à 1'000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