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37 vom 5. März 2015</w:t>
      </w:r>
    </w:p>
    <w:p>
      <w:r>
        <w:t>VD Tribunal cantonal, 2015-03-05, FR</w:t>
      </w:r>
    </w:p>
    <w:p>
      <w:r>
        <w:rPr>
          <w:b/>
        </w:rPr>
        <w:t xml:space="preserve">Quelle: </w:t>
      </w:r>
      <w:r>
        <w:t>https://mcp.opencaselaw.ch/entscheid/vd_findinfo_ML___2015___37</w:t>
      </w:r>
    </w:p>
    <w:p>
      <w:r>
        <w:t>FR: VD_FINDINFO ML / 2015 / 37 du 5 mars 2015</w:t>
      </w:r>
    </w:p>
    <w:p>
      <w:r>
        <w:t>IT: VD_FINDINFO ML / 2015 / 37 del 5 marzo 2015</w:t>
      </w:r>
    </w:p>
    <w:p>
      <w:pPr>
        <w:pStyle w:val="Heading2"/>
      </w:pPr>
      <w:r>
        <w:t>Regeste</w:t>
      </w:r>
    </w:p>
    <w:p>
      <w:r>
        <w:t>DROIT D'ÊTRE ENTENDU, NOTIFICATION IRRÉGULIÈRE, NULLITÉ | 29 al. 2 Cst., 84 al. 2 LP, 136 CPC (CH), 138 CPC (CH), 253 CPC (CH), 53 CPC (CH)</w:t>
      </w:r>
    </w:p>
    <w:p>
      <w:pPr>
        <w:pStyle w:val="Heading2"/>
      </w:pPr>
      <w:r>
        <w:t>Erwägungen</w:t>
      </w:r>
    </w:p>
    <w:p>
      <w:r>
        <w:rPr>
          <w:b/>
        </w:rPr>
        <w:t>E. 1</w:t>
      </w:r>
    </w:p>
    <w:p>
      <w:r>
        <w:t>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w:t>
      </w:r>
    </w:p>
    <w:p>
      <w:r>
        <w:rPr>
          <w:b/>
        </w:rPr>
        <w:t>E. 2</w:t>
      </w:r>
    </w:p>
    <w:p>
      <w:r>
        <w:t>Cst. [Constitution fédérale de la Confédération suisse; RS 101] et 6 § 1 CEDH [Convention européenne de sauvegarde des droits de l'homme et des libertés fondamentales; RS 0.101] (Haldy, in Bohnet et al. (éd.), Code de procédure civile commenté, nn. 1 à</w:t>
      </w:r>
    </w:p>
    <w:p>
      <w:r>
        <w:rPr>
          <w:b/>
        </w:rPr>
        <w:t>E. 5</w:t>
      </w:r>
    </w:p>
    <w:p>
      <w:r>
        <w:t>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2013/356; CPF, 8 août 2013/312; CPF, 11 juillet 2012/270; CPF, 4 juillet 2012/258; CPF, 16 mai 2012/214; CPF, 1 er février 2012/13). La cour de céans en avait jugé pareillement sous l’empire de l’ancien droit de procédure (CPF, 8 septembre 2011/375; CPF, 7 février 2011/37; CPF, 9 décembre 2010/470; CPF, 29 avril 2010/190 et les réf. cit.). En l’espèce, le pli recommandé contenant la requête de mainlevée et donnant à la recourante un délai pour se déterminer et produire des pièces est revenu au greffe du juge de paix avec la mention "non réclamé". Il ne ressort pas du dossier, et en particulier du procès-verbal des opérations, que ce pli aurait été à nouveau notifié à sa destinataire, par exemple par huissier. Dans ces circonstances, et conformément à la jurisprudence citée ci-dessus, la fiction de la notification à l'échéance du délai de garde postal ne s'applique pas et, par conséquent, la  requête de mainlevée n’a pas été valablement notifiée à la recourante. Celle-ci n'a dès lors pas eu la possibilité de prendre connaissance de la requête ni de se déterminer à son sujet, ce qui constitue une violation de son droit d'être entendue. b) La recourante, en revanche, a reçu le pli recommandé contenant le prononcé de mainlevée, qui lui a ainsi été valablement notifié et contre lequel elle a pu recourir en temps utile. Dans son acte, elle conclut implicitement au maintien de son opposition à la poursuite en cause, en contestant le principe et le montant de la cotisation réclamée; elle ne soulève pas expressément le grief de violation du droit d'être entendu et ne conclut pas à l'annulation du prononcé pour ce motif. L'instance de recours jouit d'un pouvoir de cognition complet en droit et les griefs de violation du droit s'entendent largement, puisqu'il s'agit de toute application incorrecte du droit matériel ou de procédure (Jeandin, in Bohnet et al. (éd.), Code de procédure civile commenté, n. 2 ad art. 320 CPC et nn. 1 et 2 ad art. 310 CPC). En outre, on peut considérer qu'en recourant, la partie poursuivie qui n'a pas reçu la convocation à l'audience ou la requête de mainlevée avec un délai de détermination mais qui a reçu la décision de mainlevée, fait valoir implicitement son droit d'être entendue. Si elle recourt, en effet, on ne peut pas considérer qu'elle s'accommode du défaut de notification de la requête ou de l'assignation à l'audience, comme on peut le faire lorsqu'elle ne recourt pas après s'être vu régulièrement notifier la décision (CPF, 10 avril 2014/145 et les réf. cit.). On doit dès lors constater d'office, en l'espèce, que le droit d'être entendue de la recourante a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w:t>
      </w:r>
    </w:p>
    <w:p>
      <w:r>
        <w:rPr>
          <w:b/>
        </w:rPr>
        <w:t>E. 10</w:t>
      </w:r>
    </w:p>
    <w:p>
      <w:r>
        <w:t>avril 2014/145 précité; CPF, 25 novembre 2010/450; CPF, 4 juillet 2012/258). En l'espèce, elle a entraîné un préjudice pour la recourante qui n'a pas reçu un exemplaire de l’acte introductif d’instance de la partie adverse et n’a pu être entendue ni produire des pièces en première instance. La cour de céans statuant sur la base des faits tels qu'ils sont établis par le premier juge et n'administrant pas de preuves nouvelles (art. 326 CPC), le prononcé doit donc être annulé et la cause renvoyée au juge de paix afin qu'il statue à nouveau après avoir valablement notifié la requête de mainlevée à la partie poursuivie. Au vu de ce qui précède il n’est pas nécessaire d’examiner le moyen de fond soulevé par la recourante. III. En conclusion,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135 fr., doivent être laissés à la charge de l'Etat (CPF, 10 avril 2014/145; CPF,</w:t>
      </w:r>
    </w:p>
    <w:p>
      <w:r>
        <w:rPr>
          <w:b/>
        </w:rPr>
        <w:t>E. 11</w:t>
      </w:r>
    </w:p>
    <w:p>
      <w:r>
        <w:t>septembre 2013/356; CPF, 26 novembre 2012/491; CPF, 15 octobre 2012/401 et les références citées) et l'avance de frais de ce montant effectuée par la recourante doit lui être restituée. Il n'y a pas lieu d'allouer des dépens de deuxième instance à la recourante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