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30 vom 24. Februar 2015</w:t>
      </w:r>
    </w:p>
    <w:p>
      <w:r>
        <w:t>VD Tribunal cantonal, 2015-02-24, FR</w:t>
      </w:r>
    </w:p>
    <w:p>
      <w:r>
        <w:rPr>
          <w:b/>
        </w:rPr>
        <w:t xml:space="preserve">Quelle: </w:t>
      </w:r>
      <w:r>
        <w:t>https://mcp.opencaselaw.ch/entscheid/vd_findinfo_ML___2015___30</w:t>
      </w:r>
    </w:p>
    <w:p>
      <w:r>
        <w:t>FR: VD_FINDINFO ML / 2015 / 30 du 24 février 2015</w:t>
      </w:r>
    </w:p>
    <w:p>
      <w:r>
        <w:t>IT: VD_FINDINFO ML / 2015 / 30 del 24 febbraio 2015</w:t>
      </w:r>
    </w:p>
    <w:p>
      <w:pPr>
        <w:pStyle w:val="Heading2"/>
      </w:pPr>
      <w:r>
        <w:t>Regeste</w:t>
      </w:r>
    </w:p>
    <w:p>
      <w:r>
        <w:t>ACTE DE RECOURS, DÉCISION D'IRRECEVABILITÉ, MOTIVATION DE LA DEMANDE | 321 al. 1 CPC (CH)</w:t>
      </w:r>
    </w:p>
    <w:p>
      <w:pPr>
        <w:pStyle w:val="Heading2"/>
      </w:pPr>
      <w:r>
        <w:t>Volltext</w:t>
      </w:r>
    </w:p>
    <w:p>
      <w:r>
        <w:t>Vaud Tribunal cantonal Cour des poursuites et faillites 24.02.2015 ML / 2015 / 30</w:t>
      </w:r>
    </w:p>
    <w:p>
      <w:r>
        <w:t>ACTE DE RECOURS, DÉCISION D'IRRECEVABILITÉ, MOTIVATION DE LA DEMANDE | 321 al. 1 CPC (CH)</w:t>
      </w:r>
    </w:p>
    <w:p>
      <w:r>
        <w:t>TRIBUNAL CANTONAL KC14.020944-150292 48 Cour des poursuites et faillites ________________________________________________ Arrêt du 24 février 2015 ___________________ Composition :              Mme Rouleau , présidente Mmes Carlsson et Byrde, juges Greffier : M.              Pfeiffer ***** Art. 321 al. 1 CPC Vu le prononcé rendu le 12 août 2014 à la suite de l’interpellation du poursuivi, par la Juge de paix du district du Gros-de-Vaud prononçant la mainlevée définitive, à concurrence de 4'500 fr. 70, avec intérêt à 3 % l’an dès le 13 janvier 2014, de 59 fr. 05, sans intérêt, et de 10 fr. 40, sans intérêt, de l’opposition formée par T.________ , à Morrens, à la poursuite n° 6’995'589 de l’Office des poursuites du district du Gros-de-Vaud exercée contre lui à l’instance de l’ Etat de Vaud , représenté par l’ Office d'impôt du district du Gros-de-Vaud , à Echallens, vu la demande de motivation déposée par le poursuivi le 16 août 2014, vu le prononcé motivé adressé pour notification aux parties le 5 février 2015 et notifié au poursuivi le 7 février 2015, vu le recours déposé le 16 février 2015 par le poursuivi, vu les autres pièces au dossier ; attendu que, selon l’art. 321 al. 1 CPC (Code de procédure civile du 19 décembre 2008 ; RS 272), le recours s’exerce par le dépôt d’un acte écrit motivé introduit auprès de l’instance de recours, que l’exigence de motivation est remplie lorsque celle-ci permet de comprendre ce que le recourant veut obtenir, faute de quoi l’intérêt au recours n’est pas démontré (CPF 13 février 2015/33 ; CPF 20 mars 2014/100 ; CPF 7 février 2012/33 ; CPF 30 décembre 2011/548), que l’instance de recours doit ainsi pouvoir comprendre ce qui est reproché au premier juge sans avoir à rechercher des griefs par elle-même, ce qui exige une certaine précision quant à l’énoncé et à la discussion des griefs (CREC 11 mai 2012/173 ; CPF 13 février 2015/33 ; Jeandin, in Bohnet et al. (éd.), Code de procédure commenté, n. 3 ad art. 311 CPC et n. 4 ad art. 321 CPC) ; attendu qu’en l’espèce le recourant expose sa situation personnelle et certains de ses démêlés judiciaires, mais n’émet aucun grief ni moyen reconnaissable à l’encontre du prononcé attaqué, cette absence de motivation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cette disposition, tel que l’absence de signature ou de procuration, et n’est pas non plus assimilable à un acte incompréhensible au sens de l’art. 132 al. 2 CPC (CPF 2014/100 et 2011/548 précités), qu’à défaut de motivation suffisante, le recours est irrecevable (TF 4A_651/2012 du 7 février 2013 c. 4.2 ; TF 4A_101/2014 du 26 juin 2014 c. 3.3). que le recours déposé le 16 février 2015 doit en conséquence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Le greffier : Du L'arrêt qui précède, dont la rédaction a été approuvée à huis clos, est notifié, par l'envoi de photocopies, à : ‑ M. T.________, ‑ Office d'impôt du district du Gros-de-Vaud (pour l’Etat de Vaud). La Cour des poursuites et faillites considère que la valeur litigieuse est de 4'570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