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24 vom 19. Februar 2015</w:t>
      </w:r>
    </w:p>
    <w:p>
      <w:r>
        <w:t>VD Tribunal cantonal, 2015-02-19, FR</w:t>
      </w:r>
    </w:p>
    <w:p>
      <w:r>
        <w:rPr>
          <w:b/>
        </w:rPr>
        <w:t xml:space="preserve">Quelle: </w:t>
      </w:r>
      <w:r>
        <w:t>https://mcp.opencaselaw.ch/entscheid/vd_findinfo_ML___2015___24</w:t>
      </w:r>
    </w:p>
    <w:p>
      <w:r>
        <w:t>FR: VD_FINDINFO ML / 2015 / 24 du 19 février 2015</w:t>
      </w:r>
    </w:p>
    <w:p>
      <w:r>
        <w:t>IT: VD_FINDINFO ML / 2015 / 24 del 19 febbraio 2015</w:t>
      </w:r>
    </w:p>
    <w:p>
      <w:pPr>
        <w:pStyle w:val="Heading2"/>
      </w:pPr>
      <w:r>
        <w:t>Regeste</w:t>
      </w:r>
    </w:p>
    <w:p>
      <w:r>
        <w:t>CONVENTION SUR LES EFFETS ACCESSOIRES DU DIVORCE, MAINLEVÉE DÉFINITIVE, TITRE DE MAINLEVÉE, LOI FÉDÉRALE SUR LES ALLOCATIONS FAMILIALES, DÉCISION EXÉCUTOIRE | 80 al. 1 LP, 8 LAFam</w:t>
      </w:r>
    </w:p>
    <w:p>
      <w:pPr>
        <w:pStyle w:val="Heading2"/>
      </w:pPr>
      <w:r>
        <w:t>Erwägungen</w:t>
      </w:r>
    </w:p>
    <w:p>
      <w:r>
        <w:rPr>
          <w:b/>
        </w:rPr>
        <w:t>E. 2</w:t>
      </w:r>
    </w:p>
    <w:p>
      <w:r>
        <w:t>CC [Code civil; RS 210], qui réserve la décision contraire du juge. Toutefois, ces règles légales déterminant l’existence d’une obligation légale ne constituent pas, à elles seules, un titre de mainlevée au sens de l’art. 80 LP (ATF 113 III 6 précité). Il faut que cette obligation figure dans un titre exécutoire et, en outre, que le poursuivant établisse la perception des allocations par le débirentier et le montant de ces allocations (CPF 9 janvier 2014/7; CPF, 15 juin 2012/181; CPF, 14 février 2012/128; CPF, 22 septembre 2011/393 et les réf. cit.). c) En l’espèce, le jugement astreint le recourant au versement d’une pension mensuelle indexée de 700 fr. par enfant, allocations familiales non comprises, payable d’avance le dernier jour ouvrable de chaque mois, la première fois le 31 janvier 2013. Il s’ensuit que l'intimée est incontestablement au bénéfice d'un titre de mainlevée définitive pour le montant de 2'800 fr. par mois de pension due par le recourant pour l’entretien de leurs quatre enfants à compter du 31 janvier 2013. Ce montant n’avait par ailleurs pas à être indexé au début de l’année 2014, l’indice suisse des prix à la consommation de référence n’ayant pas subi de variation. En revanche, la formulation "allocations familiales non comprises" est insuffisante pour considérer que l'obligation du recourant de verser ces allocations à l'intimée -  s'il les perçoit - figure dans le jugement de divorce, comme l'exige la jurisprudence citée plus haut, et pour considérer, par conséquent, que l'intimée est au bénéfice d'un titre de mainlevée définitive pour ces éventuelles allocations également. En effet, les termes "allocations familiales non comprises" signifient uniquement que le montant d'une éventuelle allocation n’est pas inclus dans la somme de 700 fr. due pour l’entretien de chaque enfant, ce qui implique qu'une telle allocation ne peut en tout cas pas être déduite de la pension. Ils ne signifient toutefois pas – à tout le moins pas suffisamment clairement - que cette allocation doit être versée en plus de la pension par le recourant. Quand bien même, comme en l'espèce, le débiteur ne conteste pas, sur le principe, devoir les allocations familiales, une telle obligation doit être formellement inscrite dans le jugement ou la convention pour que cet acte vaille titre de mainlevée définitive. Or, en l'occurrence, il n'y a aucune décision ou convention formelle claire sur la question des allocations. Considérer que les termes "allocations familiales non comprises" signifient "allocations familiales dues en sus" résulterait d'une interprétation de la convention et des modifications qui y ont été apportées lors de l’audience à laquelle le juge de la mainlevée, qui ne doit pas trancher la question de l'existence matérielle de la prétention, n'a pas le pouvoir de se livrer. Une telle interprétation relève de la compétence du juge du fond. Il y a donc lieu de s’en tenir au texte finalement ratifié et de constater que l’obligation du recourant de verser, en plus de la pension, les éventuelles allocations familiales qu’il perçoit ne figure pas dans le jugement produit. Il s'ensuit que le montant pour lequel l'intimée est au bénéfice d'un titre de mainlevée est uniquement celui de la pension de 2'800 fr. par mois pour ses quatre enfants dès le mois de janvier 2013. d) Depuis le mois de mars 2014, comme l'a considéré avec raison le premier juge, l’intimée n’est plus habilitée à poursuivre le recourant pour le montant de la pension due pour son fils C.M.________, devenu majeur le 20 février 2014. Elle ne peut dès lors plus agir que pour le montant de 2'100 fr. par mois dû pour les trois autres enfants. En effet, selon l'art. 289 al. 1 CC, la prétention à la contribution d'entretien appartient à l'enfant (TF 5P.29/2005 du 29 août 2005). Le détenteur de l'autorité parentale est habilité à exercer en son nom personnel la poursuite en paiement de la créance alimentaire appartenant à l'enfant mineur, en raison du fait que le mineur n'a pas la capacité d'agir lui-même ni de désigner un autre représentant (Hegnauer, Droit suisse de la filiation, 4ème éd., nn. 23.02 et 23.04a, pp. 152 à 154; Panchaud/Caprez, op. cit., § 107 n. 2; CPF, 2 février 2006/25; CPF, 26 mai 2005/287). En revanche, les pouvoirs de représentation du parent titulaire de l'autorité parentale s'éteignent à la majorité de l'enfant, celui-ci devant à partir de ce moment-là agir en son nom propre contre le débiteur de la pension (CPF, 26 mai 2005/287 précité; CPF, 24 février 2005/42; CPF, 11 mars 2004/86; CPF, 7 février 2002/34; CPF, 25 mars 1999/128). e) La poursuite porte sur la période des mois de janvier 2013 à avril 2014. A cet égard, le premier juge a statué au-delà de ce qui est réclamé dans le commandement de payer en prenant en compte les mois de mai et juin 2014. Pour la seule période concernée, vu les considérants qui précèdent, l'intimée est au bénéfice d'un titre de mainlevée pour la somme totale de 43'400 fr., soit (14 x 2'800 fr.) + (2 x 2'100 fr.). Or, cette somme est couverte par les versements opérés durant la même période par le recourant, de sorte qu'il ne se justifie pas de prononcer la mainlevée de son opposition. IV. En conclusion, le recours doit être admis et le prononcé réformé en ce sens que l'opposition à la poursuite en cause est maintenue et que les frais judiciaires de première instance, arrêtés à 180 fr., sont mis à la charge de la poursuivante, sans allocation de dépens pour le surplus, le poursuivi n'étant pas assisté d'un mandataire professionnel. Les frais judiciaires de deuxième instance, arrêtés à 360 fr., doivent être mis à la charge de l'intimée, qui doit par conséquent rembourser au recourant son avance de frais à concurrence de ce montant.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