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206 vom 22. Oktober 2015</w:t>
      </w:r>
    </w:p>
    <w:p>
      <w:r>
        <w:t>VD Tribunal cantonal, 2015-10-22, FR</w:t>
      </w:r>
    </w:p>
    <w:p>
      <w:r>
        <w:rPr>
          <w:b/>
        </w:rPr>
        <w:t xml:space="preserve">Quelle: </w:t>
      </w:r>
      <w:r>
        <w:t>https://mcp.opencaselaw.ch/entscheid/vd_findinfo_ML___2015___206</w:t>
      </w:r>
    </w:p>
    <w:p>
      <w:r>
        <w:t>FR: VD_FINDINFO ML / 2015 / 206 du 22 octobre 2015</w:t>
      </w:r>
    </w:p>
    <w:p>
      <w:r>
        <w:t>IT: VD_FINDINFO ML / 2015 / 206 del 22 ottobre 2015</w:t>
      </w:r>
    </w:p>
    <w:p>
      <w:pPr>
        <w:pStyle w:val="Heading2"/>
      </w:pPr>
      <w:r>
        <w:t>Regeste</w:t>
      </w:r>
    </w:p>
    <w:p>
      <w:r>
        <w:t>MAINLEVÉE PROVISOIRE, TITRE DE MAINLEVÉE, DROIT INTERNATIONAL PRIVÉ, CAUTIONNEMENT | 16 LDIP, 82 al. 1 LP</w:t>
      </w:r>
    </w:p>
    <w:p>
      <w:pPr>
        <w:pStyle w:val="Heading2"/>
      </w:pPr>
      <w:r>
        <w:t>Erwägungen</w:t>
      </w:r>
    </w:p>
    <w:p>
      <w:r>
        <w:rPr>
          <w:b/>
        </w:rPr>
        <w:t>E. 27</w:t>
      </w:r>
    </w:p>
    <w:p>
      <w:r>
        <w:t>janvier 2015, au motif que – contrairement aux exigences de la Convention de Lugano – le dossier ne contenait aucune pièce établissant que l’acte introductif d’instance ou un acte équivalent avait été notifié à l’intimé, le fait que le jugement produit indique que le tribunal a statué « par décision réputée contradictoire » étant à cet égard insuffisant. La présente poursuite est fondée sur l’acte de cautionnement solidaire souscrit le 11 mai 2007 par l’intimé, qui est invoqué par la recourante comme titre à la mainlevée provisoire. b) Le contrat de cautionnement solidaire du 11 mai 2007 a été conclu en France, à Lyon. Il contient sous chiffre 9 une clause d’élection de droit en faveur du droit français et il n’est pas contesté que ce contrat est soumis au droit français (art. 116 al. 1 LDIP [loi fédérale du 18 décembre 1987 sur le droit international privé ; RS 291]).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 e éd., n. 174 ad art. 82 LP ; TC Bâle campagne, Basler Juristische Mitteilungen [BJM] 1989, pp. 258 ss ; CPF, 15 juillet 2013/297 ; CPF, 6 février 2015/27).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récent,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(ATF 140 III 456 consid.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Ces principes sont également applicables au poursuivi qui fait valoir des moyens libératoires selon l’art. 82 al. 2 LP. Il lui incombe ainsi d’établir le contenu du droit étranger sur lequel il fonde son moyen. A défaut, ce dernier doit être rejeté. III. a) Selon l’art. 82 LP,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 ATF 136 III 624 consid. 4.2.2 p. 626, ATF 136 III 627 consid. 2 p. 629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Selon la jurisprudence, le contrat de cautionnement solidaire constitue une reconnaissance de dette dans la poursuite contre la caution, s’il est valable en la forme et si l’exigibilité de la dette principale et la demeure du débiteur principal sont établies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Krauskopf, La mainlevée provisoire : quelques jurisprudences récentes, in JdT 2008 II 23 ss, p. 39). b) En l’espèce, l’intimé a signé le 11 mai 2007 un acte de cautionnement solidaire, en vertu duquel il s’est engagé à rembourser à la requérante, en cas de défaillance de Y.________ Sàrl, toutes les sommes que cette dernière pourrait lui devoir dans le cadre du prêt professionnel  n° [...], jusqu’à concurrence du montant de 18'000.00 €. Il est établi que cet acte est conforme aux exigences de la loi française, dans la mesure où il comporte les mentions manuscrites exigées par les art. L. 341-2 et L. 341-3 du Code de la consommation. c) La recourante doit encore établir que la débitrice principale a reconnu la dette. Elle invoque à cet égard le jugement du Tribunal de commerce de Lyon du 11 septembre 2012, faisant valoir que ce jugement, qui a été rendu en contradictoire à l’égard de la Y.________ Sàrl, valablement assignée, établit de manière claire l’existence et la reconnaissance de la dette principale par le débiteur principal. La recourante soutient en effet que si le jugement lyonnais n’est pas susceptible d’exequatur en Suisse à l’égard de l’intimé, il n’en établit pas moins l’existence de la créance à l’égard de la débitrice principale. Elle cite un arrêt 5A_501/2010 (consid. 2.3.2), où le Tribunal fédéral a considéré qu’il serait faux de déduire de l’absence d’exequatur d’un jugement étranger – pour un motif tiré d’un vice dans la notification de l’acte introductif d’instance (art. 27 ch. 2 CL) – la conclusion que la prétention alléguée à l’appui de la réquisition de séquestre n’a pas été rendue vraisemblable sous l’angle de l’art. 271 al. 1 ch. 1 LP. Cette jurisprudence, rendue dans le cadre d’une opposition au séquestre, où il suffit au prétendu créancier de rendre sa créance vraisemblable, n’est pas transposable telle quelle au cas d’espèce. En matière de mainlevée provisoire, en effet, il appartient au poursuivi non seulement de rendre vraisemblable, mais d’établir par titre l’existence d’une reconnaissance de dette au sens de l’art. 82 LP. Le jugement du Tribunal de commerce de Lyon n’a pas obtenu l’exequatur en Suisse à l’égard de l’intimé. Il n’est pas établi non plus qu’il l’ait obtenue à l’égard de la débitrice principale, au demeurant domiciliée en France. La recourante soutient toutefois que si la débitrice principale pouvait être poursuivie en Suisse, le jugement précité serait reconnu et déclaré exécutoire et permettrait le prononcé de la mainlevée définitive. C’est possible. Il n’en demeure pas moins que ce jugement, dans son entier, et pas seulement en ce qu’il condamne l’intimé au paiement de montants à la recourante, n’est pas opposable à ce dernier en Suisse. Le jugement du Tribunal de commerce de Lyon est inexistant en Suisse et n’est donc pas propre à établir l’existence de la créance principale (CPF, du 3 février 2011/27). Il ne constitue pas non plus une reconnaissance de la dette par la débitrice principale, le fait que le jugement constate dans ses motifs que cette dernière n’a pas contesté sa dette ne valant pas reconnaissance de celle-ci. L’acte de cautionnement solidaire du 11 mai 2007 ne concerne que l’engagement de l’intimé en qualité de caution solidaire. Cet acte n’est pas signé par la débitrice principale, le contrat de prêt professionnel constituant l’engagement principal ayant manifestement fait l’objet d’un contrat distinct. La recourante n’ayant produit aucune pièce pouvant valoir reconnaissance de la dette principale au sens de l’art. 82 LP, c’est dès lors à bon droit que le premier juge a rejeté la requête de mainlevée provisoire. Le recours doit en conséquence être rejeté sans qu’il y ait lieu d’examiner les autres moyens libératoires invoqués par l’intimé. IV. En conclusion le recours doit être rejeté et le prononcé confirmé. Vu le rejet du recours, les frais judiciaires de deuxième instance, arrêtés à 510 fr., sont mis à la charge de la recourante (art. 106 al. 1 CPC). L’intimé qui obtient de gain de cause et qui a consulté avocat a droit à des dépens. Pour une valeur litigieuse de 19'355 fr. 40, ceux-ci doivent en principe être fixés dans la fourchette comprise entre 600 fr. et 2'500 fr. (art. 8 TDC [tarif du 23 novembre 2010 des dépens en matière civile ; RSV 270.11.6]). Il n’y a pas lieu de s’écarter de ces montants. Les pleins dépens dus à l’intimé peuvent être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