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198 vom 6. Oktober 2015</w:t>
      </w:r>
    </w:p>
    <w:p>
      <w:r>
        <w:t>VD Tribunal cantonal, 2015-10-06, FR</w:t>
      </w:r>
    </w:p>
    <w:p>
      <w:r>
        <w:rPr>
          <w:b/>
        </w:rPr>
        <w:t xml:space="preserve">Quelle: </w:t>
      </w:r>
      <w:r>
        <w:t>https://mcp.opencaselaw.ch/entscheid/vd_findinfo_ML___2015___198</w:t>
      </w:r>
    </w:p>
    <w:p>
      <w:r>
        <w:t>FR: VD_FINDINFO ML / 2015 / 198 du 6 octobre 2015</w:t>
      </w:r>
    </w:p>
    <w:p>
      <w:r>
        <w:t>IT: VD_FINDINFO ML / 2015 / 198 del 6 ottobre 2015</w:t>
      </w:r>
    </w:p>
    <w:p>
      <w:pPr>
        <w:pStyle w:val="Heading2"/>
      </w:pPr>
      <w:r>
        <w:t>Regeste</w:t>
      </w:r>
    </w:p>
    <w:p>
      <w:r>
        <w:t>MAINLEVÉE DÉFINITIVE, TITRE DE MAINLEVÉE, DÉCISION EXÉCUTOIRE, NOTIFICATION DE LA DÉCISION, PREUVE | 80 al. 2 ch. 2 LP</w:t>
      </w:r>
    </w:p>
    <w:p>
      <w:pPr>
        <w:pStyle w:val="Heading2"/>
      </w:pPr>
      <w:r>
        <w:t>Erwägungen</w:t>
      </w:r>
    </w:p>
    <w:p>
      <w:r>
        <w:rPr>
          <w:b/>
        </w:rPr>
        <w:t>E. 21</w:t>
      </w:r>
    </w:p>
    <w:p>
      <w:r>
        <w:t>avril 2015 a été déposée en temps utile. b) Quant au recours, déposé dans les formes requises et en temps utile (art. 321 al. 1 et 2 CPC), il est recevable. La réponse de l'intimée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En vertu de l'art. 2 al. 1 AVLIFD (Arrêté d'application dans le Canton de Vaud de la loi fédérale du 14 décembre 1990 sur l'impôt fédéral direct; RSV 658.11.1), les autorités de taxation et de perception des impôts directs cantonaux des personnes physiques et morales sont également, pour ces mêmes personnes, autorité de taxation et de perception de l'IFD.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 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 TF 5D_62/2014 précité consid. 3.2 et les références citées ).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de taxation et le  décompte final du 21 mai 2012 concernant l'IFD 2010 du recourant. Ces décisions ont été rendues dans le cadre de la procédure de réclamation (art. 185 ss LI), conformément à l'art. 187 al. 1 LI dont il découle que c'est d'abord l'autorité de taxation qui examine le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au Tribunal cantonal (art. 3 AVLIFD), de sorte qu'en principe, comme l'a considéré l'intimée,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L'intimée,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La seule affirmation de l'intimée que cette décision a bien été notifiée et la production du relevé de suivi d'envoi déjà produit par le recourant ne suffit pas à prouver la notification litigieuse. L’intimée fait valoir que le recours porte sur les faits retenus et qu’il ne pourrait être admis, conformément à l’art. 320 CPC, que si la constatation des faits était manifestement inexacte; se référant à Jeandin (in Bohnet et al. (éd.), CPC annoté, n. 4 ad art. 320 CPC), elle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de la poursuivante, qui en a fait l'avance. Il n'y a pas lieu d'allouer des dépens de première instance au poursuivi, qui a procédé seul. Les frais judiciaires de deuxième instance, arrêtés à 450 fr., doivent être mis à la charge de l'intimée. Celle-ci doit par conséquent rembourser au recourant son avance de frais du même montant,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