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196 vom 6. Oktober 2015</w:t>
      </w:r>
    </w:p>
    <w:p>
      <w:r>
        <w:t>VD Tribunal cantonal, 2015-10-06, FR</w:t>
      </w:r>
    </w:p>
    <w:p>
      <w:r>
        <w:rPr>
          <w:b/>
        </w:rPr>
        <w:t xml:space="preserve">Quelle: </w:t>
      </w:r>
      <w:r>
        <w:t>https://mcp.opencaselaw.ch/entscheid/vd_findinfo_ML___2015___196</w:t>
      </w:r>
    </w:p>
    <w:p>
      <w:r>
        <w:t>FR: VD_FINDINFO ML / 2015 / 196 du 6 octobre 2015</w:t>
      </w:r>
    </w:p>
    <w:p>
      <w:r>
        <w:t>IT: VD_FINDINFO ML / 2015 / 196 del 6 ottobre 2015</w:t>
      </w:r>
    </w:p>
    <w:p>
      <w:pPr>
        <w:pStyle w:val="Heading2"/>
      </w:pPr>
      <w:r>
        <w:t>Regeste</w:t>
      </w:r>
    </w:p>
    <w:p>
      <w:r>
        <w:t>TITRE DE MAINLEVÉE, MAINLEVÉE DÉFINITIVE, DÉCISION EXÉCUTOIRE, NOTIFICATION DE LA DÉCISION, PREUVE | 80 al. 2 ch. 2 LP</w:t>
      </w:r>
    </w:p>
    <w:p>
      <w:pPr>
        <w:pStyle w:val="Heading2"/>
      </w:pPr>
      <w:r>
        <w:t>Erwägungen</w:t>
      </w:r>
    </w:p>
    <w:p>
      <w:r>
        <w:rPr>
          <w:b/>
        </w:rPr>
        <w:t>E. 21</w:t>
      </w:r>
    </w:p>
    <w:p>
      <w:r>
        <w:t>avril 2015 a été déposée en temps utile. b) Quant au recours, déposé dans les formes requises et en temps utile (art. 321 al. 1 et 2 CPC), il est recevable. La réponse de l'intimé l'est également (art. 322 CPC). II. a) Selon l'art. 80 al. 1 LP, le créancier qui est au bénéfice d'un jugement exécutoire condamnant un débiteur à lui payer une somme d'argent peut requérir du juge la mainlevée définitive de l'opposition. Sont notamment assimilées à des jugements les décisions des autorités administratives suisses (art. 80 al. 2 ch. 2 LP). aa) Par décision de l'autorité administrative, on entend de façon large tout acte administratif imposant péremptoirement au contribuable le paiement d'une somme d'argent à la corporation publique à titre d'amende, de frais, d'impôts et taxes ou d'autres contributions publiques (Panchaud/Caprez, La mainlevée d'opposition, §§ 122 à 129).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 er mai 2002 consid. 2 c)). Une décision devient exécutoire après sa notification à l'administré si celui-ci, informé de son droit de recourir, n'en a pas usé (Panchaud/Caprez, op. cit., § 134). Plus précisément, est exécutoire la décision qui a non seulement force exécutoire, mais également force de chose jugée (Rechtskraft), c’est-à-dire qui est devenu définitive, parce qu’elle ne peut plus être attaquée par une voie de recours ordinaire (ATF 131 III 87; CPF, 12 février 2013/64 consid. II a). Selon l'art. 229 al. 2 LI (loi sur les impôts directs cantonaux; RSV 642.11), en vertu de laquelle l'Etat perçoit notamment un impôt sur le revenu et un impôt sur la fortune des personnes physiques (art. 1 al. 1 let. a LI), les décisions des autorités d'application de la loi, qui sont entrées en force, ont force exécutoire au sens de l'art. 80 LP. bb)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in Basler Kommentar, Bundesgesetz über Schuldbetreibung und Konkurs I, 2 e éd., 2010, n. 124 ad art. 80 SchKG [LP]; Gilliéron, Commentaire de la loi fédérale sur la poursuite pour dettes et la faillite, n. 22 ad art. 80 LP et n. 12 ad art. 81 LP; Gilliéron, Les garanties de procédure dans l'exécution forcée ayant pour objet une somme d'argent ou des sûretés à fournir – Le cas des prétentions de droit public, in SJ 2003 pp. 361 ss, spéc. pp. 365-366; Rigot, Le recouvrement des créances de droit public selon le droit de poursuite pour dettes et la faillite, thèse 1991, p. 169; TF 5D_62/2014 du 14 octobre 2014 consid. 3.1 et 3,2). L’autorité qui entend se prémunir contre le risque d’échec de la preuve de la notification doit communiquer ses actes (judiciaires) sous pli recommandé avec accusé de réception (TF 1B_300/2009 du 26 novembre 2009 consid. 3). La preuve de la notification de la décision peut ainsi être apportée par la production d'un accusé de réception ou de la formule du récépissé postal de l'envoi recommandé. De la même manière, l'autorité qui place dans la même enveloppe recommandée deux décisions prend le risque de l'échec de la preuve du contenu de l'envoi recommandé, si le destinataire affirme qu'il n'a pas reçu l'une des deux décisions (Revue valaisanne de jurisprudence [RVJ] 1976, p. 33, Recueil de jurisprudence neuchâteloise [RJN] 1987, pp. 215 et 279 et Beauverd, Preuve du contenu d'une communication dont la notification est établie, Revue de la société des juristes bernois [RSJB] 135/1999, p. 172 : références citées par Donzallaz, in La notification en droit interne suisse, Berne 2002, n° 1255, pp. 590 s.). En l'absence d'un envoi recommandé, la preuve de la notification peut aussi résulter de l'ensemble des circonstances, en particulier de la correspondance échangée ou de l'absence de protestation de la part d'une personne qui reçoit des rappels ( TF 5D_62/2014 précité consid. 3.2 et les références citées ). Selon la jurisprudence désormais établie de la cour de céans (CPF, 5 juillet 2013/276 consid. II b); JdT 2011 III 58), dans le sillage de celle du Tribunal fédéral (cf. parmi plusieurs : TF 5D_49/2013 du 29 juillet 2013 consid. 6.3; 5A_359/2013 du 15 juillet 2013 consid. 4.1; 5D_173/2008 du 20 février 2009 consid. 5.1; ATF 105 III 43 consid. 3), l'attitude générale du poursuivi en procédure fait partie de l’"ensemble des circonstances"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b) En l'espèce, la poursuite est fondée sur la décision de taxation et le décompte final du 21 mai 2012 concernant l'ICC 2010 du recourant. Ces décisions ont été rendues dans le cadre de la procédure de réclamation (art. 185 ss LI), conformément à l'art. 187 al. 1 LI dont il découle que c'est d'abord l'autorité de taxation qui examine le cas et détermine à nouveau les éléments imposables; lorsqu'elle ne peut pas liquider le cas, c'est-à-dire lorsque la réclamation est maintenue après sa décision, elle transmet le dossier à l'ACI (art. 187 al. 3 LI). En l'occurrence, par ses décisions du 21 mai 2012, l'Office d'impôt a maintenu ses précédentes décisions du 31 octobre 2011, objets de la réclamation du recourant. Ce dernier ayant maintenu sa réclamation, le dossier a été transmis à l'ACI, qui a statué par décision du 7 novembre 2013. Cette décision, qui écarte, respectivement, rejette la réclamation du recourant, n'a pas fait l'objet d'un recours, de sorte qu'en principe, comme l'a considéré l'intimé, "le calcul de l'impôt 2010 résultant d'un réexamen, notifié le 21 mai 2012, est entré en force". Toutefois, le recourant, comme il l'a déjà fait en première instance, conteste avoir reçu la décision de l'ACI du 7 novembre 2013 concernant la période fiscale 2010 et soutient avoir reçu sous pli recommandé expédié le 7 novembre 2013 une autre décision rendue par l'ACI le même jour, concernant la période fiscale 2007, qu'il a produite en première instance. L'intimé, pour sa part, a produit en première instance un relevé de suivi d’envoi d’un recommandé, expédié le 7 et parvenu le 20 novembre 2013 au recourant. Celui-ci a signé un accusé de réception électronique ce jour-là. Sur cette base, le premier juge a considéré qu'il était prouvé que la notification de la décision du 7 novembre 2013 concernant l'impôt 2010 avait bien eu lieu. Dans ses déterminations sur le recours, l'ACI fait valoir qu'elle a envoyé le même jour et dans le même envoi recommandé les deux décisions sur réclamation portant respectivement sur les périodes fiscales 2007 et 2010. Elle n'a toutefois pas fourni d'indice susceptible d'établir ce fait en première instance, par exemple au moyen d'un bordereau d'envoi mentionnant la référence des décisions concernées et leur numéro d'envoi en recommandé. Au demeurant, et conformément à ce qui a été exposé plus haut (cf. consid. II a)bb)), l'autorité a le fardeau de la preuve du contenu de l'envoi recommandé et, si elle adresse sous un même pli deux décisions, elle prend le risque que le destinataire n'admette n'en avoir reçu qu'une seule sur les deux. En conséquence, au vu du dossier de première instance, il est bien établi que l’administration a rendu deux décisions le 7 novembre 2013 et que le recourant a reçu la décision relative à l’impôt 2007, qu’il a produite. En revanche, il n'est pas établi qu'il a reçu la décision relative à l'impôt 2010. La seule affirmation de l'intimé que cette décision a bien été notifiée et la production du relevé de suivi d'envoi déjà produit par le recourant ne suffit pas à prouver la notification litigieuse. L’intimé fait valoir que le recours porte sur les faits retenus et qu’il ne pourrait être admis, conformément à l’art. 320 CPC, que si la constatation des faits était manifestement inexacte; se référant à Jeandin (in Bohnet et al. (éd.), CPC annoté, n. 4 ad art. 320 CPC), il soutient que le contrôle de l’autorité de recours serait, dans cette mesure, limité à l’arbitraire. Sans qu'il soit nécessaire de trancher cette question en l'espèce, il suffit de constater que le premier juge a retenu que le recourant avait reçu la décision litigieuse, alors qu’il est seulement établi qu’il a reçu la décision concernant l'impôt 2007. De fait, compte tenu des précisions données par l'ACI dans ses déterminations, il faut considérer que l'état de fait du premier juge est, dans cette mesure, manifestement inexact. III. Vu ce qui précède, le recours doit être admis et le prononcé réformé en ce sens que l'opposition à la poursuite en cause est maintenue. Les frais judiciaires de première instance doivent être mis à la charge du poursuivant, qui en a fait l'avance. Il n'y a pas lieu d'allouer des dépens de première instance au poursuivi, qui a procédé seul. Les frais judiciaires de deuxième instance, arrêtés à 570 fr., doivent être mis à la charge de l'intimé. Celui-ci doit par conséquent rembourser au recourant son avance de frais du même montant, sans allocation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