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191 vom 11. September 2015</w:t>
      </w:r>
    </w:p>
    <w:p>
      <w:r>
        <w:t>VD Tribunal cantonal, 2015-09-11, FR</w:t>
      </w:r>
    </w:p>
    <w:p>
      <w:r>
        <w:rPr>
          <w:b/>
        </w:rPr>
        <w:t xml:space="preserve">Quelle: </w:t>
      </w:r>
      <w:r>
        <w:t>https://mcp.opencaselaw.ch/entscheid/vd_findinfo_ML___2015___191</w:t>
      </w:r>
    </w:p>
    <w:p>
      <w:r>
        <w:t>FR: VD_FINDINFO ML / 2015 / 191 du 11 septembre 2015</w:t>
      </w:r>
    </w:p>
    <w:p>
      <w:r>
        <w:t>IT: VD_FINDINFO ML / 2015 / 191 del 11 settembre 2015</w:t>
      </w:r>
    </w:p>
    <w:p>
      <w:pPr>
        <w:pStyle w:val="Heading2"/>
      </w:pPr>
      <w:r>
        <w:t>Regeste</w:t>
      </w:r>
    </w:p>
    <w:p>
      <w:r>
        <w:t>CONDITION DE RECEVABILITÉ, DÉCISION D'IRRECEVABILITÉ, NOUVEAU MOYEN DE FAIT | 321 al. 1 CPC (CH), 321 al. 2 CPC (CH), 321 CPC (CH), 326 al. 1 CPC (CH), 326 CPC (CH)</w:t>
      </w:r>
    </w:p>
    <w:p>
      <w:pPr>
        <w:pStyle w:val="Heading2"/>
      </w:pPr>
      <w:r>
        <w:t>Volltext</w:t>
      </w:r>
    </w:p>
    <w:p>
      <w:r>
        <w:t>Vaud Tribunal cantonal Cour des poursuites et faillites 11.09.2015 ML / 2015 / 191</w:t>
      </w:r>
    </w:p>
    <w:p>
      <w:r>
        <w:t>CONDITION DE RECEVABILITÉ, DÉCISION D'IRRECEVABILITÉ, NOUVEAU MOYEN DE FAIT | 321 al. 1 CPC (CH), 321 al. 2 CPC (CH), 321 CPC (CH), 326 al. 1 CPC (CH), 326 CPC (CH)</w:t>
      </w:r>
    </w:p>
    <w:p>
      <w:r>
        <w:t>TRIBUNAL CANTONAL KC15.027958-151479 257 Cour des poursuites et faillites ________________________________________________ Arrêt du 11 septembre 2015 ______________________ Composition :              Mme Rouleau , présidente Mmes Carlsson et Byrde, juges Greffier : M.              Pfeiffer ***** Art. 321 al. 1 et 2, 326 CPC Vu le prononcé rendu le 28 août 2015 par la Juge de paix du district d’Aigle, prononçant la mainlevée définitive, à concurrence de 10'578 fr. 55, avec intérêts à 5% l’an dès le 24 janvier 2012, de l’opposition formée par G.________ , à Aigle, à la poursuite n° 7’479'011 de l’Office des poursuites du district d’Aigle exercée contre lui à l’instance de la N.________ , à Lausanne, vu la demande de motivation déposée par le poursuivi le 28 août 2015, vu le prononcé motivé adressé pour notification aux parties le 28 août 2015 et notifié au poursuivi le 31 août 2015, vu le recours daté du 4 septembre 2015, remis au guichet de la Justice de paix du district d’Aigle le 7 septembre 2015, vu la transmission du dossier par la juge de paix à la cour de céans, autorité de recours, le 8 septembre 2015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 Tappy, Les voies de droit du nouveau Code de procédure civile, in JT 2010 III 115, spéc. p. 131), qu’en l’espèce, le recours, déposé auprès de la Juge de paix du district d’Aigle le 7 septembre 2015, l’a été en temps utile ; attendu qu’à l’appui de son recours, le poursuivi produit un lot de pièces nouvelles, que ces pièces sont irrecevables (art. 326 al. 1 CPC), l'autorité de recours en matière de mainlevée d'opposition devant statuer sur la base du dossier tel qu'il a été constitué en première instance ; attendu que par ailleurs la partie qui entend user d'une voie de droit a la charge de se conformer à certaines règles de forme, à défaut de quoi sa démarche sera frappée d'irrecevabilité (Jeandin, in Bohnet/Haldy/Jeandin/Schweizer/Tappy (édit.),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11 septembre 2015/256 ; CPF, 21 mai 2015/148 ; CPF, 9 décembre 2014/404 ; CPF, 20 mars 2014/100), qu’en l'espèce, à l’appui de son recours, le poursuivi se limite à exposer que le premier juge a rendu un prononcé motivé le jour du dépôt de la demande de motivation et que cela démontrerait qu’il n’a pas examiné son argumentation, que le juge statue sur la base des éléments recueillis au jour où il rend sa décision, les éléments ultérieurs étant irrecevables, que le recourant n’émet ainsi aucun grief ni moyen reconnaissable à l’encontre du prononcé attaqué pouvant conduire à l’annulation ou à la réforme de celui-ci, que l'absence de motivation du recours est un vice qui n'est pas réparable (CPF, 11 septembre 2015/256 ;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 mars 2014/100 ; CPF, 30 décembre 2011/548),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 ibidem ), que, faute d'être motivé, l'acte du 4 septembre 2015 ne satisfait pas aux exigences de forme posées par la loi, qu'il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G.________, ‑ La N.________. La Cour des poursuites et faillites considère que la valeur litigieuse est de 10'578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Madame la Juge de paix du district d’Aigle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