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186 vom 10. September 2015</w:t>
      </w:r>
    </w:p>
    <w:p>
      <w:r>
        <w:t>VD Tribunal cantonal, 2015-09-10, FR</w:t>
      </w:r>
    </w:p>
    <w:p>
      <w:r>
        <w:rPr>
          <w:b/>
        </w:rPr>
        <w:t xml:space="preserve">Quelle: </w:t>
      </w:r>
      <w:r>
        <w:t>https://mcp.opencaselaw.ch/entscheid/vd_findinfo_ML___2015___186</w:t>
      </w:r>
    </w:p>
    <w:p>
      <w:r>
        <w:t>FR: VD_FINDINFO ML / 2015 / 186 du 10 septembre 2015</w:t>
      </w:r>
    </w:p>
    <w:p>
      <w:r>
        <w:t>IT: VD_FINDINFO ML / 2015 / 186 del 10 settembre 2015</w:t>
      </w:r>
    </w:p>
    <w:p>
      <w:pPr>
        <w:pStyle w:val="Heading2"/>
      </w:pPr>
      <w:r>
        <w:t>Regeste</w:t>
      </w:r>
    </w:p>
    <w:p>
      <w:r>
        <w:t>MAINLEVÉE PROVISOIRE, DÉPENS | 106 al. 1 CPC (CH), 95 al. 3 let. b CPC (CH)</w:t>
      </w:r>
    </w:p>
    <w:p>
      <w:pPr>
        <w:pStyle w:val="Heading2"/>
      </w:pPr>
      <w:r>
        <w:t>Erwägungen</w:t>
      </w:r>
    </w:p>
    <w:p>
      <w:r>
        <w:rPr>
          <w:b/>
        </w:rPr>
        <w:t>E. 18</w:t>
      </w:r>
    </w:p>
    <w:p>
      <w:r>
        <w:t>fr. 70 de débours et 8 % de TVA. a)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68 CPC). L’art. 95 al. 3 let. b CPC ne limite pas la prise en considération des frais de représentant professionnel au cas où ils étaient nécessaires. En conséquence,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Kommentar zur Schweizerischen ZPO, n° 37 ad art. 95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RSV 211.02), le Tribunal cantonal a arrêté le 23 novembre 2010 le tarif des dépens en matière civile, entré en vigueur le 1er janvier 2011 (ci-après : TDC). C’est en principe l’entier des frais liés à la consultation d’un avocat ou d’un autre représentant professionnel qui est visé par la notion de défraiement de l’art. 95 al. 3 let. b CPC (Tappy, op. cit., n. 30 ad art. 96 CPC). Ce principe a d’ailleurs été repris à l’art. 3 TDC, qui dispose qu’en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1ère phrase TDC). L’art. 6 TDC, qui fixe le tarif en procédure sommaire (applicable en matière de poursuite selon l’art. 251 let. a CPC), prévoit en particulier, pour une valeur litigieuse de 10’001 à 30’000 fr., un défraiement de l’avocat de 1’000 à 3’000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4A_634/2011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b) En l’espèce, la recourante était valablement représentée par un avocat en première instance. Elle a par ailleurs obtenu entièrement gain de cause. Elle avait donc droit à l’allocation de dépens et cela indépendamment de la question de savoir si la difficulté de la cause justifiait l’intervention d’un mandataire professionnel. La valeur litigieuse atteignant 25'483 fr. 85 (8'527 fr. 65 + 16'956 fr. 20, montants auxquels la recourante a limité sa requête de mainlevée), l’art. 6 TDC prévoit un défraiement compris entre 1'000 et 3'000 francs. L’affaire ne présentant certes pas de difficultés particulières, puisque la mainlevée était fondée sur des actes de défaut de biens, l’avocat a toutefois dû s’entretenir avec son client, recueillir ses instructions, rassembler les pièces nécessaires au dépôt de la requête de mainlevée, rédiger cette requête et la déposer. Il n’y a donc pas d’élément qui permettrait d’admettre l’existence d’un cas d’application de l’art. 20 al. 2 TDC. La recourante pouvait donc prétendre à un défraiement minimum de 1000 francs. Elle demande une somme de 927 fr. 40. S’agissant d’un montant inférieur au minimum prévu par le tarif, il doit lui être alloué. III. En conclusion, le recours doit être admis et le prononcé réformé à son chiffre IV en ce sens que la poursuivie doit verser à la poursuivante 360 fr. en remboursement de son avance de frais et 927 fr. 40 à titre de dépens. Vu l’admission du recours, les frais judiciaires de deuxième instance, arrêtés à 180 fr., doivent être mis à la charge de l’intimée (art. 106 al. 1 CPC). Obtenant gain de cause, la recourante a droit à des dépens de deuxième instance, fixés à 300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