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179 vom 8. September 2015</w:t>
      </w:r>
    </w:p>
    <w:p>
      <w:r>
        <w:t>VD Tribunal cantonal, 2015-09-08, FR</w:t>
      </w:r>
    </w:p>
    <w:p>
      <w:r>
        <w:rPr>
          <w:b/>
        </w:rPr>
        <w:t xml:space="preserve">Quelle: </w:t>
      </w:r>
      <w:r>
        <w:t>https://mcp.opencaselaw.ch/entscheid/vd_findinfo_ML___2015___179</w:t>
      </w:r>
    </w:p>
    <w:p>
      <w:r>
        <w:t>FR: VD_FINDINFO ML / 2015 / 179 du 8 septembre 2015</w:t>
      </w:r>
    </w:p>
    <w:p>
      <w:r>
        <w:t>IT: VD_FINDINFO ML / 2015 / 179 del 8 settembre 2015</w:t>
      </w:r>
    </w:p>
    <w:p>
      <w:pPr>
        <w:pStyle w:val="Heading2"/>
      </w:pPr>
      <w:r>
        <w:t>Regeste</w:t>
      </w:r>
    </w:p>
    <w:p>
      <w:r>
        <w:t>QUALITÉ POUR RECOURIR, DÉCISION D'IRRECEVABILITÉ | 321 CPC (CH)</w:t>
      </w:r>
    </w:p>
    <w:p>
      <w:pPr>
        <w:pStyle w:val="Heading2"/>
      </w:pPr>
      <w:r>
        <w:t>Erwägungen</w:t>
      </w:r>
    </w:p>
    <w:p>
      <w:r>
        <w:rPr>
          <w:b/>
        </w:rPr>
        <w:t>E. 7</w:t>
      </w:r>
    </w:p>
    <w:p>
      <w:r>
        <w:t>ad 321 CPC). Selon les principes généraux applicables en procédure civile, la qualité pour recourir présuppose tout d’abord que le recourant a été partie (à titre principal ou accessoire, Haupt- oder Neben- Partei) à la procédure de première instance (Freiburghaus/Afheld, op. cit., n° 7 ad 321 CPC et les références citées). Des tiers peuvent également se voir reconnaître la qualité pour recourir lorsque la loi le prévoit (cf. notamment art. 167 al. 3 CPC, art. 184 al. 3 CPC) ou lorsque leurs intérêts sont touchés par la décision contestée (Jeandin, op. cit., n° 12, intro. Art. 308-334 ; Freiburghaus/Afheld, op. cit., n° 8 ad 321 CPC) par exemple parce que des frais ont été mis à sa charge (CPF, 3 mai 2013/184). Lorsque le recourant n’a pas la qualité pour recourir, l’autorité déclare le recours irrecevable (Freiburghaus/Afheld, op. cit., n° 11 ad 321 CPC). b) En l’espèce, la poursuite en cause concerne l’impôt fédéral direct 2004. Le commandement de payer notifié au poursuivi désigne la Confédération Suisse comme créancière. La requête de mainlevée a été déposée pour le compte de cette même Confédération. Le premier juge a ainsi statué dans le cadre d’un litige qui opposait la Confédération à l’intimé. L’État du Tessin n’était donc en aucune manière partie à la procédure de première instance. Il ne saurait en outre être considéré comme un tiers légitimé à recourir au sens défini ci-dessus. Le recours doit donc en définitive être déclaré irrecevable. III. Vu l’issue du recours, les frais judiciaires de deuxième instance, arrêtés à 450 fr., doivent être mis à la charge du recourant (art. 106 al. 1 CPC). Il n’y a pas lieu d’allouer de dépens de deuxième instance, l’intimé ayant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