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176 vom 11. September 2015</w:t>
      </w:r>
    </w:p>
    <w:p>
      <w:r>
        <w:t>VD Tribunal cantonal, 2015-09-11, FR</w:t>
      </w:r>
    </w:p>
    <w:p>
      <w:r>
        <w:rPr>
          <w:b/>
        </w:rPr>
        <w:t xml:space="preserve">Quelle: </w:t>
      </w:r>
      <w:r>
        <w:t>https://mcp.opencaselaw.ch/entscheid/vd_findinfo_ML___2015___176</w:t>
      </w:r>
    </w:p>
    <w:p>
      <w:r>
        <w:t>FR: VD_FINDINFO ML / 2015 / 176 du 11 septembre 2015</w:t>
      </w:r>
    </w:p>
    <w:p>
      <w:r>
        <w:t>IT: VD_FINDINFO ML / 2015 / 176 del 11 settembre 2015</w:t>
      </w:r>
    </w:p>
    <w:p>
      <w:pPr>
        <w:pStyle w:val="Heading2"/>
      </w:pPr>
      <w:r>
        <w:t>Regeste</w:t>
      </w:r>
    </w:p>
    <w:p>
      <w:r>
        <w:t>CONDITION DE RECEVABILITÉ, DÉCISION D'IRRECEVABILITÉ, NOUVEAU MOYEN DE FAIT | 321 al. 1 CPC (CH), 321 al. 2 CPC (CH), 321 CPC (CH), 326 al. 1 CPC (CH), 326 CPC (CH)</w:t>
      </w:r>
    </w:p>
    <w:p>
      <w:pPr>
        <w:pStyle w:val="Heading2"/>
      </w:pPr>
      <w:r>
        <w:t>Volltext</w:t>
      </w:r>
    </w:p>
    <w:p>
      <w:r>
        <w:t>Vaud Tribunal cantonal Cour des poursuites et faillites 11.09.2015 ML / 2015 / 176</w:t>
      </w:r>
    </w:p>
    <w:p>
      <w:r>
        <w:t>CONDITION DE RECEVABILITÉ, DÉCISION D'IRRECEVABILITÉ, NOUVEAU MOYEN DE FAIT | 321 al. 1 CPC (CH), 321 al. 2 CPC (CH), 321 CPC (CH), 326 al. 1 CPC (CH), 326 CPC (CH)</w:t>
      </w:r>
    </w:p>
    <w:p>
      <w:r>
        <w:t>TRIBUNAL CANTONAL KC15.025843-151480 256 Cour des poursuites et faillites ________________________________________________ Arrêt du 11 septembre 2015 ______________________ Composition :              Mme Rouleau , présidente Mme Carlsson et M. Maillard, juges Greffière :              Mme Berger ***** Art. 321 al. 1 et 2, 326 CPC Vu le prononcé du 21 août 2015 rendu à la suite de l'interpellation de la partie poursuivie par le Juge de paix du district d'Aigle, rejetant la requête de mainlevée d'opposition déposée par O.________ , à Saint-Maurice, dans la poursuite n° 7'449'511 de l'Office des poursuites du district d'Aigle contre E.________ , au Sépey, arrêtant à 360 fr. les frais judiciaires, compensés avec l'avance de frais de la partie poursuivante, les mettant à la charge de celle-ci, sans allocation de dépens, notifié le 24 août 2015 à la poursuivante, vu la demande de motivation déposée le 25 août 2015 par la poursuivante, vu les motifs du prononcé notifiés à la poursuivante le 4 septembre 2015, vu le recours adressé le 8 septembre 2015 par la poursuivante au Juge de paix, accompagné d'une pièce nouvelle, vu la transmission du dossier par le Juge de paix à la cour de céans, autorité de recours, le 9 septembre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recours, déposé auprès du Juge de paix le 8 septembre 2015, l'a été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21 mai 2015/148; CPF, 9 décembre 2014/404; CPF, 20 mars 2014/100), que l'instance de recours doit ainsi pouvoir comprendre ce qui est reproché au premier juge sans avoir à rechercher des griefs par elle-même, ce qui exige une certaine précision quant à l'énoncé et à la discussion des griefs (CREC, 11 mai 2012/173); attendu qu'à l'appui de son recours, la poursuivante produit une pièce nouvelle, expliquant que l'exemplaire produit devant le Juge de paix était incomplet, que cette pièce est irrecevable (art. 326 al. 1 CPC), l'autorité de recours en matière de mainlevée d'opposition devant statuer sur la base du dossier tel qu'il a été constitué en première instance, que le recours, uniquement fondé sur cette pièce nouvelle, ne contient par ailleurs aucun grief, motif ou moyen dirigé contre le prononcé rejetant la requête de mainlevée,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que l'art. 56 CPC, selon lequel le tribunal donne aux parties l'occasion de clarifier ou de compléter leurs actes ou déclarations peu clairs ou manifesement incomplets, concerne des allégations de fait et n'est pas applicable non plus en cas d'absence de motivation d'un acte de recours (ibidem), que, faute d'être motivé, l'acte du 8 septembre 2015 ne satisfait pas aux exigences de forme posées par la loi, qu'il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O.________, ‑ M. E.________. La Cour des poursuites et faillites considère que la valeur litigieuse est de 11'960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