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2015 / 171 vom 5. August 2015</w:t>
      </w:r>
    </w:p>
    <w:p>
      <w:r>
        <w:t>VD Tribunal cantonal, 2015-08-05, FR</w:t>
      </w:r>
    </w:p>
    <w:p>
      <w:r>
        <w:rPr>
          <w:b/>
        </w:rPr>
        <w:t xml:space="preserve">Quelle: </w:t>
      </w:r>
      <w:r>
        <w:t>https://mcp.opencaselaw.ch/entscheid/vd_findinfo_ML___2015___171</w:t>
      </w:r>
    </w:p>
    <w:p>
      <w:r>
        <w:t>FR: VD_FINDINFO ML / 2015 / 171 du 5 août 2015</w:t>
      </w:r>
    </w:p>
    <w:p>
      <w:r>
        <w:t>IT: VD_FINDINFO ML / 2015 / 171 del 5 agosto 2015</w:t>
      </w:r>
    </w:p>
    <w:p>
      <w:pPr>
        <w:pStyle w:val="Heading2"/>
      </w:pPr>
      <w:r>
        <w:t>Regeste</w:t>
      </w:r>
    </w:p>
    <w:p>
      <w:r>
        <w:t>OBJET DU LITIGE, OPPOSITION{LP}, RETRAIT{VOIE DE DROIT}, RÉPARTITION DES FRAIS | 82 LP, 106 al. 1 CPC (CH), 241 CPC (CH), 242 CPC (CH)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juin 2013/199 ; CACI 23 janvier 2013/55 ; CACI, 23 novembre 2012/553). L’intimée doit par conséquent rembourser au recourant son avance de frais à concurrence du montant précité et lui verser un montant de 800 fr. à titre de dépens de deuxième instance (art. 3 et 8 Tarif des dépens en matière civile ; RSV 270.11.6).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