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146 vom 24. Juli 2015</w:t>
      </w:r>
    </w:p>
    <w:p>
      <w:r>
        <w:t>VD Tribunal cantonal, 2015-07-24, FR</w:t>
      </w:r>
    </w:p>
    <w:p>
      <w:r>
        <w:rPr>
          <w:b/>
        </w:rPr>
        <w:t xml:space="preserve">Quelle: </w:t>
      </w:r>
      <w:r>
        <w:t>https://mcp.opencaselaw.ch/entscheid/vd_findinfo_ML___2015___146</w:t>
      </w:r>
    </w:p>
    <w:p>
      <w:r>
        <w:t>FR: VD_FINDINFO ML / 2015 / 146 du 24 juillet 2015</w:t>
      </w:r>
    </w:p>
    <w:p>
      <w:r>
        <w:t>IT: VD_FINDINFO ML / 2015 / 146 del 24 luglio 2015</w:t>
      </w:r>
    </w:p>
    <w:p>
      <w:pPr>
        <w:pStyle w:val="Heading2"/>
      </w:pPr>
      <w:r>
        <w:t>Regeste</w:t>
      </w:r>
    </w:p>
    <w:p>
      <w:r>
        <w:t>CONDITION DE RECEVABILITÉ, DÉCISION D'IRRECEVABILITÉ, MOTIF DU RECOURS | 321 al. 1 CPC (CH), 321 CPC (CH)</w:t>
      </w:r>
    </w:p>
    <w:p>
      <w:pPr>
        <w:pStyle w:val="Heading2"/>
      </w:pPr>
      <w:r>
        <w:t>Volltext</w:t>
      </w:r>
    </w:p>
    <w:p>
      <w:r>
        <w:t>Vaud Tribunal cantonal Cour des poursuites et faillites 24.07.2015 ML / 2015 / 146</w:t>
      </w:r>
    </w:p>
    <w:p>
      <w:r>
        <w:t>CONDITION DE RECEVABILITÉ, DÉCISION D'IRRECEVABILITÉ, MOTIF DU RECOURS | 321 al. 1 CPC (CH), 321 CPC (CH)</w:t>
      </w:r>
    </w:p>
    <w:p>
      <w:r>
        <w:t>TRIBUNAL CANTONAL KC15.003509-151091 210 Cour des poursuites et faillites ________________________________________________ Arrêt du 24 juillet 2015 __________________ Composition :              Mme Rouleau , présidente Mme Byrde et M. Maillard, juges Greffier : Mme              Berger ***** Art. 321 al. 1 CPC Vu le prononcé rendu le 1 er avril 2015 à la suite de l'interpellation de la partie poursuivie par le Juge de paix du district de l'Ouest lausannois, prononçant la mainlevée définitive de l'opposition formée par G.________ , à Ecublens, au commandement de payer n° 6'968'734 de l'Office des poursuites du district de l'Ouest lausannois, notifié à l'instance de la CONFEDERATION SUISSE , représentée par l'Office d'impôt des districts de Lausanne et Ouest lausannois, à Lausanne, arrêtant les frais judiciaires à 150 fr., compensés avec l'avance de frais de la partie poursuivante, les mettant à la charge du poursuivi et disant que celui-ci devait en conséquence rembourser à la partie poursuivante son avance de frais du même montant, sans allocation de dépens, vu la notification au poursuivi de ce prononcé sous pli recommandé le 22 avril 2015, par distribution au guichet de la poste, vu le courrier du 30 avril 2015 adressé par le poursuivi au Juge de paix, par lequel il a déclaré faire opposition audit prononcé, vu la pièce annexée à son courrier, vu le courrier du juge de paix du 8 mai 2015, impartissant au poursuivi un délai au 16 mai 2015 pour préciser la nature de la lettre du 30 avril 2015, et requérant, si cet acte devait être considéré comme un recours, de préciser quels éléments étaient contestés, vu le courrier du juge de paix du 15 juin 2015 au poursuivi, lui impartissant un ultime délai au 25 juin 2015 pour répondre aux questions posées par lettre du 8 mai 2015, vu  le courrier du poursuivi au juge de paix daté du 24 juin 2015, posté le 15 juin 2015, et les pièces annexées, vu les motifs du prononcé du 1 er avril 2015, adressés aux parties pour notification le 30 juin 2015, vu la transmission du dossier par le juge de paix à la cour de céans, autorité de recours, le 2 juillet 2015;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JT 2010 III 115, spéc. p. 131), qu'en l'espèce, le dispositif du prononcé du Juge de paix du district de l'Ouest lausannois du 1 er avril 2015 a été notifié le 22 avril 2015 au poursuivi, de sorte que le recours de ce dernier, adressé le 30 avril au magistrat précité, a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CPF, 20 mars 2014/100; CPF, 7 février 2012/33; CPF, 30 décembre 2011/548), que l'instance de recours doit ainsi pouvoir comprendre ce qui est reproché au premier juge sans avoir à rechercher des griefs par elle-même, ce qui exige une certaine précision quant à l'énoncé et à la discussion des griefs (CREC, 11 mai 2012/173), qu'en l'espèce, le poursuivi a déclaré faire opposition au prononcé du 1 er avril 2015, que ses courriers des 30 avril 2015 et 24 juin 2015 allèguent l'existence d'une fraude, de dettes que le Canton de Vaud aurait envers le poursuivi, ou encore de saisies de salaires "corruptives", que le poursuivi n'a formulé aucun grief, motif ou moyen de recours reconnaissable contre le prononcé levant définitivement son opposition, qu'il n'a pas déposé d'autre acte après réception des motifs de la décision,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30 avril 2015,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G.________, ‑ Office d'impôt des districts de Lausanne et Ouest lausannois (pour la Confédération suisse). La Cour des poursuites et faillites considère que la valeur litigieuse est de 2'250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