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145 vom 24. Juli 2015</w:t>
      </w:r>
    </w:p>
    <w:p>
      <w:r>
        <w:t>VD Tribunal cantonal, 2015-07-24, FR</w:t>
      </w:r>
    </w:p>
    <w:p>
      <w:r>
        <w:rPr>
          <w:b/>
        </w:rPr>
        <w:t xml:space="preserve">Quelle: </w:t>
      </w:r>
      <w:r>
        <w:t>https://mcp.opencaselaw.ch/entscheid/vd_findinfo_ML___2015___145</w:t>
      </w:r>
    </w:p>
    <w:p>
      <w:r>
        <w:t>FR: VD_FINDINFO ML / 2015 / 145 du 24 juillet 2015</w:t>
      </w:r>
    </w:p>
    <w:p>
      <w:r>
        <w:t>IT: VD_FINDINFO ML / 2015 / 145 del 24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24.07.2015 ML / 2015 / 145</w:t>
      </w:r>
    </w:p>
    <w:p>
      <w:r>
        <w:t>CONDITION DE RECEVABILITÉ, DÉCISION D'IRRECEVABILITÉ, MOTIF DU RECOURS | 321 al. 1 CPC (CH), 321 CPC (CH)</w:t>
      </w:r>
    </w:p>
    <w:p>
      <w:r>
        <w:t>TRIBUNAL CANTONAL KC15.003508-151090 209 Cour des poursuites et faillites ________________________________________________ Arrêt du 24 juillet 2015 __________________ Composition :              Mme Rouleau , présidente Mme Byrde et M. Maillard, juges Greffier : Mme              Berger ***** Art. 321 al. 1 Vu le prononcé rendu le 1 er avril 2015 à la suite de l'interpellation de la partie poursuivie par le Juge de paix du district de l'Ouest lausannois, prononçant la mainlevée définitive de l'opposition formée par H.________ , à Ecublens, au commandement de payer n° 6'968'707 de l'Office des poursuites du district de l'Ouest lausannois, notifié à l'instance de la CONFEDERATION SUISSE , représentée par l'Office d'impôt des districts de Lausanne et Ouest lausannois, à Lausanne,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 er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 er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 er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H.________, ‑ Office d'impôt des districts de Lausanne et Ouest lausannois (pour la Confédération suisse) La Cour des poursuites et faillites considère que la valeur litigieuse est de 5'911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