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141 vom 27. Juli 2015</w:t>
      </w:r>
    </w:p>
    <w:p>
      <w:r>
        <w:t>VD Tribunal cantonal, 2015-07-27, FR</w:t>
      </w:r>
    </w:p>
    <w:p>
      <w:r>
        <w:rPr>
          <w:b/>
        </w:rPr>
        <w:t xml:space="preserve">Quelle: </w:t>
      </w:r>
      <w:r>
        <w:t>https://mcp.opencaselaw.ch/entscheid/vd_findinfo_ML___2015___141</w:t>
      </w:r>
    </w:p>
    <w:p>
      <w:r>
        <w:t>FR: VD_FINDINFO ML / 2015 / 141 du 27 juillet 2015</w:t>
      </w:r>
    </w:p>
    <w:p>
      <w:r>
        <w:t>IT: VD_FINDINFO ML / 2015 / 141 del 27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27.07.2015 ML / 2015 / 141</w:t>
      </w:r>
    </w:p>
    <w:p>
      <w:r>
        <w:t>CONDITION DE RECEVABILITÉ, DÉCISION D'IRRECEVABILITÉ, MOTIF DU RECOURS | 321 al. 1 CPC (CH), 321 CPC (CH)</w:t>
      </w:r>
    </w:p>
    <w:p>
      <w:r>
        <w:t>TRIBUNAL CANTONAL KC15.003499-151082 201 Cour des poursuites et faillites ________________________________________________ Arrêt du 27 juillet 2015 __________________ Composition :              Mme Rouleau ,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D.________ , à Ecublens, au commandement de payer n° 6'968'705 de l'Office des poursuites du district de l'Ouest lausannois, notifié à l'instance de l' ETAT DE VAUD , représenté par l'Office d'impôt des districts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D.________, ‑ Office d'impôt des districts de Lausanne et Ouest lausannois (pour l'Etat de Vaud). La Cour des poursuites et faillites considère que la valeur litigieuse est de 4'500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