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2015 / 13 vom 22. Januar 2015</w:t>
      </w:r>
    </w:p>
    <w:p>
      <w:r>
        <w:t>VD Tribunal cantonal, 2015-01-22, FR</w:t>
      </w:r>
    </w:p>
    <w:p>
      <w:r>
        <w:rPr>
          <w:b/>
        </w:rPr>
        <w:t xml:space="preserve">Quelle: </w:t>
      </w:r>
      <w:r>
        <w:t>https://mcp.opencaselaw.ch/entscheid/vd_findinfo_ML___2015___13</w:t>
      </w:r>
    </w:p>
    <w:p>
      <w:r>
        <w:t>FR: VD_FINDINFO ML / 2015 / 13 du 22 janvier 2015</w:t>
      </w:r>
    </w:p>
    <w:p>
      <w:r>
        <w:t>IT: VD_FINDINFO ML / 2015 / 13 del 22 gennaio 2015</w:t>
      </w:r>
    </w:p>
    <w:p>
      <w:pPr>
        <w:pStyle w:val="Heading2"/>
      </w:pPr>
      <w:r>
        <w:t>Regeste</w:t>
      </w:r>
    </w:p>
    <w:p>
      <w:r>
        <w:t>MAINLEVÉE DÉFINITIVE, TITRE DE MAINLEVÉE, INTÉRÊT MORATOIRE, DEMEURE, SOMMATION, DÉPENS | 102 al. 1 CO, 91 CPC, 80 al. 1 LP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Cour des poursuites et faillites ________________________________________________ Arrêt du</w:t>
      </w:r>
    </w:p>
    <w:p>
      <w:r>
        <w:rPr>
          <w:b/>
        </w:rPr>
        <w:t>E. 22</w:t>
      </w:r>
    </w:p>
    <w:p>
      <w:r>
        <w:t>mai 2014, que la première interpellation valable de l’intimée est donc bien le commandement de payer qui lui a été notifié le 3 juillet 2014, que c’est dès lors à juste titre que le premier juge a fait partir l’intérêt moratoire dès le lendemain, soit le 4 juillet 2014, que le recours, manifestement infondé (art. 322 al. 1 CPC), doit ainsi être rejeté et le prononcé du juge de paix confirmé ; attendu que les frais de deuxième instance, arrêtés à 180 fr., doivent être mis à la charge du recourant, qui en a déjà fait l’avance (art. 106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