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128 vom 22. Juli 2015</w:t>
      </w:r>
    </w:p>
    <w:p>
      <w:r>
        <w:t>VD Tribunal cantonal, 2015-07-22, FR</w:t>
      </w:r>
    </w:p>
    <w:p>
      <w:r>
        <w:rPr>
          <w:b/>
        </w:rPr>
        <w:t xml:space="preserve">Quelle: </w:t>
      </w:r>
      <w:r>
        <w:t>https://mcp.opencaselaw.ch/entscheid/vd_findinfo_ML___2015___128</w:t>
      </w:r>
    </w:p>
    <w:p>
      <w:r>
        <w:t>FR: VD_FINDINFO ML / 2015 / 128 du 22 juillet 2015</w:t>
      </w:r>
    </w:p>
    <w:p>
      <w:r>
        <w:t>IT: VD_FINDINFO ML / 2015 / 128 del 22 luglio 2015</w:t>
      </w:r>
    </w:p>
    <w:p>
      <w:pPr>
        <w:pStyle w:val="Heading2"/>
      </w:pPr>
      <w:r>
        <w:t>Regeste</w:t>
      </w:r>
    </w:p>
    <w:p>
      <w:r>
        <w:t>ACTE DE RECOURS, MOTIF DU RECOURS, CONDITION DE RECEVABILITÉ | 321 al. 1 CPC (CH)</w:t>
      </w:r>
    </w:p>
    <w:p>
      <w:pPr>
        <w:pStyle w:val="Heading2"/>
      </w:pPr>
      <w:r>
        <w:t>Volltext</w:t>
      </w:r>
    </w:p>
    <w:p>
      <w:r>
        <w:t>Vaud Tribunal cantonal Cour des poursuites et faillites 22.07.2015 ML / 2015 / 128</w:t>
      </w:r>
    </w:p>
    <w:p>
      <w:r>
        <w:t>ACTE DE RECOURS, MOTIF DU RECOURS, CONDITION DE RECEVABILITÉ | 321 al. 1 CPC (CH)</w:t>
      </w:r>
    </w:p>
    <w:p>
      <w:r>
        <w:t>TRIBUNAL CANTONAL KC15.006517-150784 199 Cour des poursuites et faillites ________________________________________________ Arrêt du 22 juillet 2015 __________________ Composition :              Mme Rouleau , présidente M. Hack et Mme Byrde, juges Greffier : Mme              Debétaz Ponnaz ***** Art. 321 al. 1 CPC Vu le prononcé rendu le 29 avril 2015 par le Juge de paix des districts du Jura-Nord vaudois et du Gros-de-Vaud, statuant à la suite de l'interpellation de la partie poursuivie, prononçant la mainlevée définitive, à concurrence de 1'151 fr. 10, plus intérêt au taux de 3 % l'an dès le 16 janvier 2015, et de 51 fr. 45, sans intérêt, de l'opposition formée par M.________ , à [...], à la poursuite n° 7'309'966 de l'Office des poursuites du district du Jura-Nord vaudois exercée contre lui à l'instance de l' Etat de Vaud , représenté par le Service de la sécurité civile et militaire, Secteur taxe d'exemption , à Morges, arrêtant à 150 fr. les frais judiciaires, compensés avec l'avance de frais du poursuivant, les mettant à la charge du poursuivi et disant que celui-ci rembourserait en conséquence au poursuivant son avance de frais à concurrence de 150 fr., sans allocation de dépens pour le surplus, vu la notification du dispositif de ce prononcé le 5 mai 2015 au poursuivi, vu la lettre désignée comme un "recours à la décision" datée du 11 et adressée au juge de paix le 12 mai 2015, dans laquelle le poursuivi explique en substance que sa situation financière est très difficile et qu'il n'a pas les moyens de régler ses nombreuses dettes, en particulier la taxe militaire réclamée dans la poursuite en cause ainsi que les frais de justice mis à sa charge, vu les motifs du prononcé adressés aux parties le 6 juillet 2015 sous pli recommandé que le poursuivi, pour sa part, avisé le lendemain de l'arrivée de ce pli à la poste, n'est pas allé chercher dans le délai de garde, vu la transmission du dossier par le juge de paix à la cour de céans, autorité de recours;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(TF 4A_476/2014 du 9 décembre 2014; Tappy, Les voies de droit du nouveau Code de procédure civile, in JT 2010 III 115, spéc. p. 131), qu'en l'espèce, le "recours" que le poursuivi a adressé au juge de paix le 12 mai 2015 contre le prononcé qui lui avait été notifié le 5 a été ainsi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CPF, 9 décembre 2014/404), que l'instance de recours doit ainsi pouvoir comprendre ce qui est reproché au premier juge sans avoir à rechercher des griefs par elle-même, ce qui exige une certaine précision quant à l'énoncé et à la discussion des griefs (CREC, 11 mai 2012/173), qu'en l'espèce, dans sa lettre désignée comme un recours, M.________ expose seulement que sa situation financière est très difficile et qu'il ne peut pas payer ses dettes, qu'il ne formule en revanche aucun grief contre la décision de mainlevée d'opposition elle-même, qu'il sera tenu compte de sa situation financière par l'office des poursuites au stade de la saisie, le cas échéant, que le recourant n'a pas déposé d'autre acte après l'envoi des motifs de la décision du premier juge, envoi réputé lui avoir été notifié le 14 juillet 2015, dès lors qu'ayant recouru, il devait s'attendre à recevoir une décision judiciaire (art. 138 al. 1 et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le "recours" de M.________, faute d'être motivé, ne satisfait pas aux exigences de forme posées par la loi et doit par conséquent être déclaré irrecevable;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M.________, ‑ Etat de Vaud, Service de la sécurité civile et militaire. La Cour des poursuites et faillites considère que la valeur litigieuse est de 1'202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