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109 vom 11. Juni 2015</w:t>
      </w:r>
    </w:p>
    <w:p>
      <w:r>
        <w:t>VD Tribunal cantonal, 2015-06-11, FR</w:t>
      </w:r>
    </w:p>
    <w:p>
      <w:r>
        <w:rPr>
          <w:b/>
        </w:rPr>
        <w:t xml:space="preserve">Quelle: </w:t>
      </w:r>
      <w:r>
        <w:t>https://mcp.opencaselaw.ch/entscheid/vd_findinfo_ML___2015___109</w:t>
      </w:r>
    </w:p>
    <w:p>
      <w:r>
        <w:t>FR: VD_FINDINFO ML / 2015 / 109 du 11 juin 2015</w:t>
      </w:r>
    </w:p>
    <w:p>
      <w:r>
        <w:t>IT: VD_FINDINFO ML / 2015 / 109 del 11 giugno 2015</w:t>
      </w:r>
    </w:p>
    <w:p>
      <w:pPr>
        <w:pStyle w:val="Heading2"/>
      </w:pPr>
      <w:r>
        <w:t>Regeste</w:t>
      </w:r>
    </w:p>
    <w:p>
      <w:r>
        <w:t>MAINLEVÉE DÉFINITIVE, TITRE DE MAINLEVÉE, DÉCISION, NOTIFICATION DE LA DÉCISION, LIBRE APPRÉCIATION DES PREUVES, PREUVE, FICTION DE LA NOTIFICATION | 80 al. 2 ch. 2 LP, 80 al. 2 LP, 80 LP</w:t>
      </w:r>
    </w:p>
    <w:p>
      <w:pPr>
        <w:pStyle w:val="Heading2"/>
      </w:pPr>
      <w:r>
        <w:t>Erwägungen</w:t>
      </w:r>
    </w:p>
    <w:p>
      <w:r>
        <w:rPr>
          <w:b/>
        </w:rPr>
        <w:t>E. 16</w:t>
      </w:r>
    </w:p>
    <w:p>
      <w:r>
        <w:t>novembre 2006, c. 3.1 ; Staehelin, Kommentar zum Bundesgesetz über Schuldbetreibung und Konkurs, n. 120 ad art. 80 LP; Panchaud/Caprez, La mainlevée d’opposition, § 122). Il appartient à l’autorité qui invoque une décision administrative à l’appui d’une requête de mainlevée définitive de prouver que la décision a été notifiée et qu’elle est entrée en force, faute d’avoir été contestée en temps utile (ATF 105 III 43, JT 1980 II 117 ; ATF 129 I 8 ; ATF 122 I 97, rés. in JT 1997 I 31). La Cour de céans a tranché, dans une composition de cinq juges,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ne soulève pas ce moyen devant le premier juge alors que la décision invoquée mentionne expressément être entrée en force et exécutoire, le poursuivi admet implicitement l’avoir reçue (CPF 15 août 2013/321 ; CPF 5 juillet 2013/276 ; CPF 25 novembre 2010/462 confirmé dans l’arrêt TF 5A_339/2011 c. 3 ; TF 5D_62/2014 du 14 octobre 2014 c. 3). Le recourant qui a procédé en première instance sans soulever le moyen de l’absence de notification est donc réputé avoir reçu la décision invoquée (CPF 18 décembre 2014/412). Le juge de la mainlevée n’a pas à revoir le bien-fondé de la décision administrative (CPF 18 décembre 2014/412). En revanche, il doit examiner d’office l’existence du titre de mainlevée définitive dans la poursuite pendante, notamment son existence légale et le caractère exécutoire de la décision invoquée (Gilliéron, op. cit. , nn. 11-12 ad art. 81 LP ; cf. en matière fiscale : ATF 105 III 43, JT 1980 II 117). Pour justifier la mainlevée, la décision doit toutefois émaner d’une autorité compétente pour rendre de telles décisions (Panchaud/Caprez, op. cit. , §§ 122, 123, 129 et 133 ; CPF, 15 avril 2010). Au vu de ce qui précède, c’est en résumé au poursuivant qu’il appartient de prouver, par pièces, qu’il est au bénéfice d’une décision au sens de l’art. 80 LP, que cette décision a été communiquée au poursuivi et qu’elle est exécutoire ou passée en force de chose jugée (Gilliéron, op. cit., n. 12 ad art. 81 LP ; Rigot, Le recouvrement forcé des créances de droit public selon le droit de poursuite pour dettes et la faillite, thèse 1991, p. 169). b) Enfin, selon le Tribunal fédéral, le droit suisse admet que l'on puisse poursuivre une personne même pour des créances qui ne se basent sur aucun jugement, sur aucun document public, pas même sur un titre privé ; le complément nécessaire d'un droit de poursuite aussi étendu est la possibilité pour le poursuivi de faire opposition (ATF 134 III 115 c. 4.1 ; ATF 132 III 140 c. 4.1.1).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Si le créancier qui procède selon la seconde voie veut continuer la poursuite, il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e phrase, LP). Cette procédure administrative revêt la même double fonction que le procès civil en reconnaissance de dette pour les créances de droit civil, dans lequel le juge civil statue sur le fond et sur la levée de l'opposition (ATF 107 III 60 c. 3, p. 65). La décision de l'autorité administrative de première instance peut évidemment faire l'objet de recours, selon les dispositions topiques applicables (ATF 134 III 115 c. 4.1). Dans des affaires qui concernaient précisément des décisions rendues par le SAN après la notification du commandement de payer, la Cour de céans a dit, conformément à la jurisprudence fédérale, qu’il n’était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28 février 2013/82 ; CPF 24 septembre 2009/308). c) En l’espèce, la décision du 27 juin 2014 a été rendue par l’autorité compétente. Elle constitue une décision administrative. Toutefois, le recourant n’a pas établi que cette décision avait été notifiée et reçue par l’intimée ; au contraire, l’extrait du suivi des envois par la Poste qu’il a produit mentionne que le pli qui la contenait n’a pas pu être délivré à sa destinataire, sa boîte postale n’étant plus vidée. Il est donc établi, au vu du dossier, que l’intimée n’a pas reçu la décision administrative en cause. Contrairement à ce qu’estime le recourant, il n’y pas, dans ces circonstances, de fiction de notification à l’échéance d’un délai de sept jours, puisqu’il n’est pas établi que l’intimée devait s’attendre à recevoir un pli, d’une part, et que, surtout, aucun avis de retrait n’a été déposé dans sa boîte faisant courir un tel délai, d’autre part. Il n’est dès lors pas étonnant que, dans ces conditions, l’intimée n’ait pas recouru, ni que la Cour de droit administratif et public du Tribunal cantonal ait attesté l’absence de contestation de cette décision dans le délai légal. Quant au fait que l’intimée ne se soit jusqu’à maintenant pas prévalue de cette absence de notification, il est sans portée. En effet, pour les mêmes raisons – soit l’absence de notification valable de la requête de mainlevée et de la convocation à l’audience – l’intimée n’a pas procédé en première instance ; on ne saurait dès lors lui opposer qu’elle n’a pas soulevé ce moyen. Pour ce motif, la requête de mainlevée doit être rejetée. Il sera bien entendu loisible au recourant de notifier à l’intimée, en bonne et due forme (soit par remise à l’administrateur en mains propres par un employé postal ou par la police, soit par affichage, soit subsidiairement par parution dans la FAO), la décision administrative qu’il a rendue le 27 juin 2014, puis après avoir obtenu une nouvelle attestation de la Cour de droit administratif et public, de déposer une nouvelle requête de mainlevée. A cet égard, et pour éviter des recours inutiles, il apparaît expédient d’indiquer d’ores et déjà au juge de paix qu’au vu de l’ATF 134 III 115, le lien entre la décision administrative, postérieure à la réquisition de poursuite, et le titre de la créance indiqué dans le commandement de payer est en l’espèce suffisamment évident pour que la créance puisse être identifiée par l’intimée et que, sous cet angle, ladite décision constituait dès lors bien un titre de mainlevée définitive. III. En définitive, le recours doit ainsi être rejeté et le prononcé confirmé, par substitution de motifs. Les frais de deuxième instance doivent être mis à la charge du recourant. Il n’y a pas matière à 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