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88 vom 8. April 2014</w:t>
      </w:r>
    </w:p>
    <w:p>
      <w:r>
        <w:t>VD Tribunal cantonal, 2014-04-08, FR</w:t>
      </w:r>
    </w:p>
    <w:p>
      <w:r>
        <w:rPr>
          <w:b/>
        </w:rPr>
        <w:t xml:space="preserve">Quelle: </w:t>
      </w:r>
      <w:r>
        <w:t>https://mcp.opencaselaw.ch/entscheid/vd_findinfo_ML___2014___88</w:t>
      </w:r>
    </w:p>
    <w:p>
      <w:r>
        <w:t>FR: VD_FINDINFO ML / 2014 / 88 du 8 avril 2014</w:t>
      </w:r>
    </w:p>
    <w:p>
      <w:r>
        <w:t>IT: VD_FINDINFO ML / 2014 / 88 del 8 aprile 2014</w:t>
      </w:r>
    </w:p>
    <w:p>
      <w:pPr>
        <w:pStyle w:val="Heading2"/>
      </w:pPr>
      <w:r>
        <w:t>Regeste</w:t>
      </w:r>
    </w:p>
    <w:p>
      <w:r>
        <w:t>BAIL À LOYER, BAILLEUR{BAIL À LOYER}, CRÉANCIER | 82 LP</w:t>
      </w:r>
    </w:p>
    <w:p>
      <w:pPr>
        <w:pStyle w:val="Heading2"/>
      </w:pPr>
      <w:r>
        <w:t>Erwägungen</w:t>
      </w:r>
    </w:p>
    <w:p>
      <w:r>
        <w:rPr>
          <w:b/>
        </w:rPr>
        <w:t>E. 19</w:t>
      </w:r>
    </w:p>
    <w:p>
      <w:r>
        <w:t>décembre 2008, RS 272 ; Muster, La nouvelle procédure civile et le droit des poursuites et des faillites, in JT 2011 II 75 ss, p. 100). Le recours est écrit et motivé et contient des conclusions valablement formulées. Il est ainsi recevable à la forme (art. 321 al. 1 CPC; sur l’exigence que l’acte de recours contienne des conclusions : Freiburghaus/Afheldt, Kommentar zur Schweizerischen Zivilprozessordnung, n. 14 ad art. 321 CPC ; Jeandin, Code de procédure civile commenté, n. 4 ad art. 321 CPC). Les déterminations déposées par l’intimé le 17 décembre 2013 sont également recevables. En revanche, les pièces produites à l’appui de cette écriture, dans la mesure où il s'agit de pièces nouvelles ne figurant pas au dossier de première instance, sont irrecevables, l'art. 326 CPC prohibant les preuves nouvelles. De même, l’écriture complémentaire du 31 mars 2013, produite hors délai (art. 322 al. 2 CPC), est irrecevable.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Seuls sont propres à la mainlevée les documents privés signés du poursuivi ou de son représentant (Panchaud/Caprez, op. cit., § 3).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Le contrat signé de bail à loyer constitue une reconnaissance de dette pour le montant du loyer échu, pour autant que le bailleur ait mis l’objet du contrat à disposition du locataire (Panchaud/Caprez, op. cit., §§ 74 et 75; Krauskopf, La mainlevée provisoire et quelques jurisprudences récentes, JT 2008 II 35). b)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 La mainlevée ne peut être octroyée en faveur d’un bailleur dont le nom n’a pas été mentionné sur le contrat de bail au moment de sa signature qu’à condition que le contrat ait été ultérieurement complété sur ce point avec l’accord, même tacite, du locataire (JT 1974 II 94 ; Panchaud/Caprez, op. cit., § 74, n. 10). Le poursuivant doit donc prouver sa qualité de titulaire de la créance en poursuite et établir par pièce l’identité entre le poursuivant et le bailleur (CPF, 2 septembre 2010/323 ; CPF, 11 décembre 2008/614 ; CPF, 2 février 2006/27 ; CPF, 2 février 2006/23). c)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 Caprez, op. cit., § 28). En matière de mainlevée provisoire, la vraisemblance du moyen libératoire suffit à mettre en échec la requête de mainlevée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références citées ; CPF, 21 janvier 2010/28). d) Dans le cadre de la présente poursuite, Z.________ réclame à P.________ des loyers pour la période du 1 er février 2008 au 28 février 2013. La poursuivante fonde sa requête de mainlevée sur un contrat de bail du 3 juin 2005. Il n’y a pas de doute sur le fait que ledit contrat est bien signé par le poursuivi et que celui-ci y est désigné comme locataire. L’identité du bailleur est en revanche moins claire. S’il est vrai que la signature de la poursuivante figure au pied du contrat sous la rubrique « Le bailleur », il y a lieu de constater qu’en première page du contrat, à l’emplacement réservée à la désignation des parties cocontractantes, Z.________ apparaît en qualité de représentant et non de partie bailleresse. L’identité entre le poursuivant et le créancier désigné dans le contrat paraît ainsi douteuse. Mais c’est principalement pour un second motif que le bail produit par Z.________ ne saurait justifier le prononcé de la mainlevée pour le montant en poursuite. Il ressort en effet des pièces produites par le poursuivi qu’un bail portant sur le même bien immobilier a été signé le 1 er janvier 2008 par [...] et P.________. On comprend du courrier du poursuivi du 22 mars 2012 à [...] que ce dernier lui aurait laissé entendre qu’il serait propriétaire de l’objet loué. Quoi qu’il en soit, le poursuivi rend vraisemblable qu’un second bail (du 1 er janvier 2008) s’est substitué au premier (du 3 juin 2005). Dans ces circonstances, le contrat du 3 juin 2005 ne saurait valoir titre de mainlevée pour les loyers postérieurs au 1 er janvier 2008, en particulier pour ceux réclamés en poursuite. La poursuivante n’établissant par ailleurs pas être titulaire de la créance stipulée dans le second bail, sa requête de mainlevée ne saurait être accueillie. III. Le recours doit ainsi être rejeté et le prononcé confirmé. Les frais judiciaires de deuxième instance, arrêtés à 360 fr., sont mis à la charge de la recourante, qui succombe (art. 106 al. 1 CPC).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