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85 vom 8. April 2014</w:t>
      </w:r>
    </w:p>
    <w:p>
      <w:r>
        <w:t>VD Tribunal cantonal, 2014-04-08, FR</w:t>
      </w:r>
    </w:p>
    <w:p>
      <w:r>
        <w:rPr>
          <w:b/>
        </w:rPr>
        <w:t xml:space="preserve">Quelle: </w:t>
      </w:r>
      <w:r>
        <w:t>https://mcp.opencaselaw.ch/entscheid/vd_findinfo_ML___2014___85</w:t>
      </w:r>
    </w:p>
    <w:p>
      <w:r>
        <w:t>FR: VD_FINDINFO ML / 2014 / 85 du 8 avril 2014</w:t>
      </w:r>
    </w:p>
    <w:p>
      <w:r>
        <w:t>IT: VD_FINDINFO ML / 2014 / 85 del 8 aprile 2014</w:t>
      </w:r>
    </w:p>
    <w:p>
      <w:pPr>
        <w:pStyle w:val="Heading2"/>
      </w:pPr>
      <w:r>
        <w:t>Regeste</w:t>
      </w:r>
    </w:p>
    <w:p>
      <w:r>
        <w:t>MAINLEVÉE DÉFINITIVE, TITRE DE MAINLEVÉE | 80 LP</w:t>
      </w:r>
    </w:p>
    <w:p>
      <w:pPr>
        <w:pStyle w:val="Heading2"/>
      </w:pPr>
      <w:r>
        <w:t>Erwägungen</w:t>
      </w:r>
    </w:p>
    <w:p>
      <w:r>
        <w:rPr>
          <w:b/>
        </w:rPr>
        <w:t>E. 26</w:t>
      </w:r>
    </w:p>
    <w:p>
      <w:r>
        <w:t>août 2011 c. 3), qu'en l'occurrence, le recourant a procédé sans contester avoir reçu la décision du 29 novembre 2012, qu'en conséquence, il a implicitement admis avoir reçu ce document, conformément à la jurisprudence récente de la cour de céans, confirmée par le Tribunal fédéral, que la décision de taxation du 29 novembre 2012 vaut donc titre à la mainlevée définitive pour le capital et pour les intérêts (art. 32c LTEO); attendu qu'en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que le poursuivi a allégué avoir payé le montant réclamé par le poursuivant à raison de quatre versements de 100 fr. chacun, qu'à l'appui de ses allégations, il a produit quatre récepissés postaux attestant de quatre versements de 100 fr. en faveur du poursuivant, que, comme l'a constaté le premier juge, le dernier de ces récepissés porte un autre numéro de référence que celui figurant sur les trois autres récepissés ainsi que sur les factures adressées au poursuivi pour le paiement de sa taxe militaire 2010, qu'en conséquence, il convient d'admettre que ce dernier récepissé concerne une autre dette du poursuivi, qu'en définitive, le poursuivi n'a pas établi être libéré; attendu que le recours, manifestement infondé au sens de l'art. 322 al. 1 CPC, doit être rejeté et le prononcé confirmé par adoption de motifs, que les frais judiciaires de deuxième instance, arrêtés à 135 fr., sont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