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83 vom 2. April 2014</w:t>
      </w:r>
    </w:p>
    <w:p>
      <w:r>
        <w:t>VD Tribunal cantonal, 2014-04-02, FR</w:t>
      </w:r>
    </w:p>
    <w:p>
      <w:r>
        <w:rPr>
          <w:b/>
        </w:rPr>
        <w:t xml:space="preserve">Quelle: </w:t>
      </w:r>
      <w:r>
        <w:t>https://mcp.opencaselaw.ch/entscheid/vd_findinfo_ML___2014___83</w:t>
      </w:r>
    </w:p>
    <w:p>
      <w:r>
        <w:t>FR: VD_FINDINFO ML / 2014 / 83 du 2 avril 2014</w:t>
      </w:r>
    </w:p>
    <w:p>
      <w:r>
        <w:t>IT: VD_FINDINFO ML / 2014 / 83 del 2 aprile 2014</w:t>
      </w:r>
    </w:p>
    <w:p>
      <w:pPr>
        <w:pStyle w:val="Heading2"/>
      </w:pPr>
      <w:r>
        <w:t>Regeste</w:t>
      </w:r>
    </w:p>
    <w:p>
      <w:r>
        <w:t>BAIL À LOYER, FORMULE OFFICIELLE, SOLIDARITÉ PASSIVE | 143 CO, 269d CO, 270 al. 2 CO, 82 LP</w:t>
      </w:r>
    </w:p>
    <w:p>
      <w:pPr>
        <w:pStyle w:val="Heading2"/>
      </w:pPr>
      <w:r>
        <w:t>Erwägungen</w:t>
      </w:r>
    </w:p>
    <w:p>
      <w:r>
        <w:rPr>
          <w:b/>
        </w:rPr>
        <w:t>E. 19</w:t>
      </w:r>
    </w:p>
    <w:p>
      <w:r>
        <w:t>décembre 2008, RS 272; Muster, La nouvelle procédure civile et le droit des poursuites et des faillites, in JT 2011 II 75 ss, p. 100). Le recours est écrit et motivé et contient des conclusions en réforme. Il est ainsi recevable à la forme (art. 321 al. 1 CPC; sur l’exigence que l’acte de recours contienne des conclusions : Freiburghaus/Afheldt, Kommentar zur Schweizerischen Zivilprozessordnung, n. 14 ad art. 321 CPC; Jeandin, Code de procédure civile commenté, n. 4 ad art. 321 CPC). II. a) Selon l'art. 82 LP (loi fédérale du 11 avril 1889 sur la poursuite pour dettes et la faillite, RS 281.1), le créancier dont la poursuite se fonde sur une reconnaissance de dette constatée par acte authentique ou sous seing privé peut requérir la mainlevée provisoire de l'opposition (al. 1), que le juge prononce si le débiteur ne rend pas immédiatement vraisemblable sa libération (al. 2).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b)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 loi du 7 mars 1993 sur l'utilisation d'une formule officielle au changement de locataire, RSV 221.315) , qui précise qu'il y a pénurie lorsque le taux de logements vacants offerts en location, établi pour l'ensemble du canton, est inférieur à 1,5 % du parc locatif (art. 4). Par arrêté du 9 juillet 2001, entré en vigueur le 1 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La contestation du loyer initial,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dans pareille hypothèse, le loyer payé par le dernier locataire ayant véritablement fait usage de l'objet concerné est déterminant (Fetter, op. cit., n. 392, p. 182 et les références citées à la note infrapaginale n. 882). Selon la jurisprudence, lorsque le bailleur ne fait pas usage, lors de la conclusion d'un bail, de la formule officielle prescrite par l'art. 270 al. 2 CO, sa non utilisation entraîne la nullité partielle du contrat de bail, sous l'angle de la fixation du montant du loyer (TF 4C.428/2004 du 1 er avril 2005 cons. 3.1; ATF 124 III 62 c. 2a, rés. in JT 1998 I 612; ATF 120 II 341 cons. 5d, rés. in JT 1995 I 382). Il appartient alors au juge du fond de déterminer le loyer initial en se fondant sur toutes les circonstances du cas (ATF 124 III 62 cons. 2b) ; le juge de la mainlevée n’est pas compétent pour procéder à une telle appréciation. La cour de céans a ainsi considéré que le contrat de bail ne vaut pas à lui seul titre de mainlevée lorsque l'usage de la formule officielle était nécessaire (CPF, 27 septembre 2011/404 ; CPF, 5 février 2009/32 ; CPF, 18 septembre 2008/440 ; CPF, 29 juin 2006/314 ; Trümpy, La mainlevée d'opposition provisoire en droit du bail, BlSchk 2010, pp. 105 ss, pp. 106-107; Hack, Formalisme et durée : quelques développements récents en droit du bail, in JT 2007 II 4, p. 5). c) En l’espèce, la poursuite est fondée sur un contrat de bail à loyer pour habitation du 4 décembre 2008, signé par les parties. Le bail est accompagné d’une formule officielle de notification de hausse de loyer du 8 décembre 2008. Celle-ci mentionne, tout comme le contrat de bail d’ailleurs, qu’il n’y a pas eu de locataire dans l’appartement loué à l’intimé avant le 15 décembre 2008, date d’entrée en vigueur du bail litigieux. Cela étant, la formule officielle produite n’est pas viciée. Le contrat de bail prévoit un loyer échelonné sur trois ans. Selon la clause stipulée, le loyer devait ainsi s’élever à 2'020 fr. (1'800 fr. + 200 fr. + 20 fr.) dès le 1 er janvier 2012. Pour être valable, cette hausse aurait également dû être notifiée sur une formule officielle. La recourante n’a toutefois pas produit de formule attestant que cet échelon serait entré en vigueur. Il en découle que le contrat de bail produit, accompagné de la formule officielle, constitue bien un titre de mainlevée au sens de l’art. 82 LP, mais uniquement à hauteur du loyer initial de 1'720 francs. La recourante demande la mainlevée de l’opposition à concurrence de 10'400 fr. plus intérêt à 5 % l’an dès le 1 er octobre 2012, échéance moyenne, correspondant, d’après les indications figurant dans le commandement de payer, aux loyers arriérés : - de l’appartement, pour la période du 1 er juillet au 15 décembre 2012 (10'100 fr.), - d’une place de parc, pour la période du 1 er juin au 15 décembre 2012 (par 300 fr.). Le contrat de bail produit concerne exclusivement l’appartement sis [...], à Lucens. Pour la période réclamée, soit cinq mois et demi, il constitue un titre de mainlevée pour le montant de 9'460 fr. (1'720 fr. x 5,5). Pour ce qui est du loyer d’une place de parc, la poursuivante n’a produit aucune pièce. d) La recourante réclame l’entier du loyer à l’intimé, alors même que le contrat de bail produit prévoit la location de l’appartement à l’intimé et son épouse et que cette dernière a fait l’objet d’une poursuite distincte pour le même objet. Cela suppose que les deux époux aient la qualité de codébiteurs solidaires. Selon l'art. 143 CO, il y a solidarité entre plusieurs débiteurs lorsqu’ils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 4 août 1994/479 ; Engel, Traité des obligations en droit suisse, 2 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matière de contrat de bail, il est de manière générale admis que des colocataires sont des codébiteurs solidaires, de sorte que le bailleur peut réclamer la totalité du loyer à chacun des colocataires (Krauskopf, la mainlevée provisoire : quelques jurisprudences récentes, in JT 2008 II 23 ss, spéc. p. 36). Si la solidarité entre colocataires n’est pas présumée, elle naît de la cosignature du bail ou d'actes concluants, sans qu'elle ait nécessairement à être prévue expressis verbis (Lachat, Commentaire romand, n. 18 ad art. 253 CO ; RSJ 1998 p. 166). En l’espèce, la solidarité passive doit être retenue du fait que les époux F.________ ont tous deux signé le contrat de bail litigieux et occupé ensemble l’appartement dont le loyer est réclamé en poursuite. La cohabitation à cette adresse n’est pas contestée par l’intimé, qui ne rend par ailleurs vraisemblable aucun moyen libératoire. e) Il résulte de ce qui précède que la mainlevée doit être prononcée à concurrence de 9'460 francs. L’intérêt moratoire au taux de 5 % peut être alloué dès le 1 er octobre 2012, comme requis, l’échéance moyenne se situant à une date antérieure, le 23 septembre 2012. III. Le recours est donc partiellement admis et le prononcé attaqué réformé en ce sens que l’opposition formée par F.________ au commandement de payer n° 6'443'879 de l'Office des poursuites du district de la Broye-Vully, notifié à la réquisition de Q.________ SA, est provisoirement levée à concurrence de 9'460 fr. plus intérêt à 5 % l’an dès le 1 er octobre 2012. La  recourante obtient gain de cause sur les 5/6 èmes de ses conclusions. Les frais judiciaires doivent être répartis selon cette proportion et les dépens alloués dans la même mesure. Ainsi, les frais de première instance, arrêtés à 360 fr., sont mis par 60 francs à la charge de la poursuivante et par 300 fr. à la charge du poursuivi. Ce dernier doit verser à la poursuivante, assistée d'un agent d’affaires breveté, la somme de 1'237 fr. 50 à titre de dépens réduits (937 fr. 50, soit les 5/6 èmes de 1'125 francs) et de restitution partielle d'avance de frais (300 fr.) de première instance. Les frais judiciaires de deuxième instance, arrêtés à 510 fr., sont mis par 85 fr. à la charge de la recourante et par 425 fr. à la charge de l'intimé, qui versera à la recourante la somme de 800 fr. à titre de dépens réduits (375 fr., soit les 5/6 èmes de 450 fr.) et de restitution partielle d'avance de frais (425 fr.)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