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8 vom 16. Januar 2014</w:t>
      </w:r>
    </w:p>
    <w:p>
      <w:r>
        <w:t>VD Tribunal cantonal, 2014-01-16, FR</w:t>
      </w:r>
    </w:p>
    <w:p>
      <w:r>
        <w:rPr>
          <w:b/>
        </w:rPr>
        <w:t xml:space="preserve">Quelle: </w:t>
      </w:r>
      <w:r>
        <w:t>https://mcp.opencaselaw.ch/entscheid/vd_findinfo_ML___2014___8</w:t>
      </w:r>
    </w:p>
    <w:p>
      <w:r>
        <w:t>FR: VD_FINDINFO ML / 2014 / 8 du 16 janvier 2014</w:t>
      </w:r>
    </w:p>
    <w:p>
      <w:r>
        <w:t>IT: VD_FINDINFO ML / 2014 / 8 del 16 gennaio 2014</w:t>
      </w:r>
    </w:p>
    <w:p>
      <w:pPr>
        <w:pStyle w:val="Heading2"/>
      </w:pPr>
      <w:r>
        <w:t>Regeste</w:t>
      </w:r>
    </w:p>
    <w:p>
      <w:r>
        <w:t>MAINLEVÉE PROVISOIRE, TITRE DE MAINLEVÉE, RECONNAISSANCE DE DETTE, DROIT ÉTRANGER, CAUTIONNEMENT SOLIDAIRE, DETTE PRINCIPALE | 82 LP</w:t>
      </w:r>
    </w:p>
    <w:p>
      <w:pPr>
        <w:pStyle w:val="Heading2"/>
      </w:pPr>
      <w:r>
        <w:t>Erwägungen</w:t>
      </w:r>
    </w:p>
    <w:p>
      <w:r>
        <w:rPr>
          <w:b/>
        </w:rPr>
        <w:t>E. 2</w:t>
      </w:r>
    </w:p>
    <w:p>
      <w:r>
        <w:t>Cst. [Constitution suisse; RS 101] (ATF 137 I 195).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nn. 44 et 45 ad art. 82 LP). b) En matière internationale, c’est le droit suisse, en tant que droit du for, qui détermine ce qu’il faut entendre par reconnaissance de dette susceptible de justifier la mainlevée provisoire de l’opposition. En revanche, savoir si – formellement et matériellement – une telle reconnaissance existe et est valable, se détermine selon le droit applicable au document invoqué à l’appui de la requête de mainlevée et, respectivement, applicable à la créance de base, selon les règles du droit international privé (CPF, 1 er mars 2013/88; CPF, 1 er octobre 2012/368); ce principe vaut aussi pour les moyens libératoires invoqués selon l’art. 82 al. 2 LP (Staehelin, Basler Kommentar, n. 174 ad art. 82 Sch KG [LP] et les références citées; TC Bâle-Campagne, BJM 1989, pp. 258 ss). c) aa) En l’espèce, la recourante se prévaut de l’acte de cautionnement signé par l'intimé le 30 mars 2009 comme titre de mainlevée provisoire. Elle soutient que, contrairement à ce qu’a retenu le premier juge, il ne résulterait pas de l’acte produit que la signature du conjoint était une condition de validité de l’engagement souscrit par la caution et que, de plus, contrairement au droit suisse, le droit français ne subordonnerait pas la validité du cautionnement au consentement du conjoint. L’intimé soutient quant à lui que l’acte de cautionnement invoqué serait nul au regard du droit français. La question de la validité de l’acte de cautionnement peut cependant rester ouverte pour les motifs qui suivent. bb) Le contrat de cautionnement solidaire ne vaut titre de mainlevée provisoire que si la dette principale est reconnue dans son principe et son montant par le débiteur principal. Le créancier doit ainsi prouver l'existence et le montant de sa créance non seulement à l'égard de la caution, mais aussi à l'égard du débiteur principal et, dans la poursuite contre la caution, il ne peut obtenir la mainlevée provisoire de l'opposition que si l'acte de cautionnement est accompagné d'une reconnaissance de dette du débiteur principal (ATF 122 III 125 c. 2b et les réf. cit.; CPF 22 janvier 2013/25; CPF 10 juin 2013/251). En droit français comme en droit suisse, le cautionnement, même solidaire, a un caractère accessoire en ce sens que l'obligation de la caution dépend de l'existence et du contenu de la dette principale : le cautionnement ne peut  excéder ce qui est dû par le débiteur ni être contracté sous des conditions plus onéreuses (art. 2290 CCF; Encyclopédie Dalloz, Droit civil III, Cautionnement, nn. 12 et 14, pp. 4-5). La caution n'est engagée envers le créancier à le payer qu'à défaut du débiteur – que celui-ci doive ou non être discuté préalablement dans ses biens (art. 2298 CCF). Dans un arrêt du 15 juin 2000 (n° 229), la cour de céans a rappelé que, lorsque le débiteur principal était en faillite, la jurisprudence exigeait du créancier qu'il établît, pour obtenir la mainlevée contre la caution, que la dette principale avait été reconnue par le failli, la seule admission à l'état de collocation ne suffisant pas à fonder une reconnaissance de dette de la part du débiteur; en l'espèce, la débitrice principale avait été mise en liquidation judiciaire, institution de droit français correspondant à la faillite en droit suisse; observant qu'en droit français, l'admission définitive d'une créance au passif de la faillite du débiteur était semble-t-il opposable à la caution, la cour a toutefois constaté qu'on ignorait la suite donnée à cette procédure après le jugement de mise en liquidation judiciaire, en particulier si le créancier avait produit dans la faillite et reçu un dividende, de sorte que l'admission définitive de la créance au passif de la faillie n'avait pas été établie. Dans la présente cause, le débiteur principal est en procédure de redressement judiciaire, destinée, aux termes de l'art. L-631-1 al. 2 du Code de commerce français, à permettre la poursuite de l'activité de l'entreprise, le maintien de l'emploi et l'apurement du passif. On ignore si, en pareille procédure, l'admission définitive d'une créance au passif du débiteur est également opposable à la caution. Quoi qu'il en soit, comme dans l'arrêt précité du 15 juin 2000, on ignore la suite donnée à la procédure de redressement et, en particulier, si l’avis du 14 février 2011 est définitif ou s’il a fait l’objet d’un recours de la part du débiteur. On doit ainsi considérer que la recourante n’a pas établi l'admission définitive de sa créance au passif du débiteur principal ni, par conséquent, l’existence et le montant de sa créance à l’égard de ce dernier. Pour ce motif, la requête de mainlevée devait effectivement être rejetée et l'opposition au commandement de payer maintenue. III. Vu ce qui précède, le recours doit être rejeté et le prononcé confirmé, par substitution de motifs. Les frais judiciaires de deuxième instance, arrêtés à 510 fr., doivent être mis à la charge de la partie qui succombe (art. 106 al. 1 CPC), savoir la recourante, qui en a déjà fait l'avance. Il n'est pas alloué de dépens de deuxième instance, l'intimé ayant procédé sans l'assistance d'un conseil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