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47 vom 30. Dezember 2013</w:t>
      </w:r>
    </w:p>
    <w:p>
      <w:r>
        <w:t>VD Tribunal cantonal, 2013-12-30, FR</w:t>
      </w:r>
    </w:p>
    <w:p>
      <w:r>
        <w:rPr>
          <w:b/>
        </w:rPr>
        <w:t xml:space="preserve">Quelle: </w:t>
      </w:r>
      <w:r>
        <w:t>https://mcp.opencaselaw.ch/entscheid/vd_findinfo_ML___2014___47</w:t>
      </w:r>
    </w:p>
    <w:p>
      <w:r>
        <w:t>FR: VD_FINDINFO ML / 2014 / 47 du 30 décembre 2013</w:t>
      </w:r>
    </w:p>
    <w:p>
      <w:r>
        <w:t>IT: VD_FINDINFO ML / 2014 / 47 del 30 dicembre 2013</w:t>
      </w:r>
    </w:p>
    <w:p>
      <w:pPr>
        <w:pStyle w:val="Heading2"/>
      </w:pPr>
      <w:r>
        <w:t>Regeste</w:t>
      </w:r>
    </w:p>
    <w:p>
      <w:r>
        <w:t>MAINLEVÉE PROVISOIRE, CESSION DE CRÉANCE{CO}, REPRÉSENTATION EN PROCÉDURE | 82 LP</w:t>
      </w:r>
    </w:p>
    <w:p>
      <w:pPr>
        <w:pStyle w:val="Heading2"/>
      </w:pPr>
      <w:r>
        <w:t>Erwägungen</w:t>
      </w:r>
    </w:p>
    <w:p>
      <w:r>
        <w:rPr>
          <w:b/>
        </w:rPr>
        <w:t>E. 30</w:t>
      </w:r>
    </w:p>
    <w:p>
      <w:r>
        <w:t>(27'620 fr. 30 – 6'848 fr. = 20'772 fr. 30) plus intérêts au taux de 6 % l'an dès le 8 juillet 2005 et de 1'049 fr. 20 sans intérêt. III. En définitive, le recours doit être partiellement admis et le prononcé réformé en ce sens que la mainlevée est provisoirement levée à concurrence de 20'772 fr. 30 plus intérêts au taux de 6 % l'an dès le 8 juillet 2005, et de 1'049 fr. 20 sans intérêt. Les frais judiciaires de première instance, arrêtés à 360 fr., sont mis à la charge de la poursuivante à concurrence d’un quart, soit 90 fr., et à la charge du poursuivi à concurrence de 270 francs. Ce dernier doit verser à la poursuivante la somme de 270 fr. à titre de restitution d'avance de frais de première instance et de 1’125 fr. à titre de défraiement réduit d’un quart de son représentant professionnel. Les frais judiciaires de deuxième instance, arrêtés à 570 fr., sont mis à la charge du recourant à raison de trois quarts , soit de 427 fr. 50, le quart restant, soit 142 fr. 50 étant mis à la charge de l'intimée. Enfin, le recourant a droit à une indemnité, réduite à un quart, pour ses frais d'avocat de deuxième instance arrêtée à 500 fr. (8 TDC [tarif des dépens en matière civile, RSV 270.11.6], pour une valeur litigieuse de 28'669 fr. 50). L'intimée peut quant à elle également prétendre à une indemnité réduite d'un quart, soit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