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37 vom 20. Februar 2014</w:t>
      </w:r>
    </w:p>
    <w:p>
      <w:r>
        <w:t>VD Tribunal cantonal, 2014-02-20, FR</w:t>
      </w:r>
    </w:p>
    <w:p>
      <w:r>
        <w:rPr>
          <w:b/>
        </w:rPr>
        <w:t xml:space="preserve">Quelle: </w:t>
      </w:r>
      <w:r>
        <w:t>https://mcp.opencaselaw.ch/entscheid/vd_findinfo_ML___2014___37</w:t>
      </w:r>
    </w:p>
    <w:p>
      <w:r>
        <w:t>FR: VD_FINDINFO ML / 2014 / 37 du 20 février 2014</w:t>
      </w:r>
    </w:p>
    <w:p>
      <w:r>
        <w:t>IT: VD_FINDINFO ML / 2014 / 37 del 20 febbraio 2014</w:t>
      </w:r>
    </w:p>
    <w:p>
      <w:pPr>
        <w:pStyle w:val="Heading2"/>
      </w:pPr>
      <w:r>
        <w:t>Regeste</w:t>
      </w:r>
    </w:p>
    <w:p>
      <w:r>
        <w:t>DÉPENS | 20 TDC, 6 TDC</w:t>
      </w:r>
    </w:p>
    <w:p>
      <w:pPr>
        <w:pStyle w:val="Heading2"/>
      </w:pPr>
      <w:r>
        <w:t>Erwägungen</w:t>
      </w:r>
    </w:p>
    <w:p>
      <w:r>
        <w:rPr>
          <w:b/>
        </w:rPr>
        <w:t>E. 20</w:t>
      </w:r>
    </w:p>
    <w:p>
      <w:r>
        <w:t>al. 2 TDC, dans la mesure où la procédure de mainlevée n’aurait donné lieu qu’à un travail réduit de l’avocat de l’intimée et que par ailleurs ce dernier était impliqué dans une procédure parallèle opposant [...] au même débiteur et portant sur un état de fait identique. Il considère dès lors que les dépens de première instance devraient être réduits à 500 fr. en tout et pour tout. a) Les frais comprennent les frais judiciaires et les dépens (art. 95 al. 1 CPC). Les dépens comprennent notamment le défraiement d’un représentant professionnel (art. 95 al. 3 lit.b CPC). Sont essentiellement visés par cette disposition les frais d’avocat mais aussi les honoraires dus à un autre représentant professionnel au sens de l’art. 68 CPC (Tappy, Code de procédure civile commenté, n. 26 ad art. 68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"manifeste" que l'on doit en principe s'en tenir aux barèmes fixés et que l'on ne peut s'en écarter, dans l'hypothèse envisagée à l'art. 20 al. 2 TDC, que si la disproportion est évidente. b) En l’occurrence, le poursuivant était valablement représenté par un avocat en première instance. Il a par ailleurs obtenu gain de cause sur le principe et l’essentiel de ses conclusions de sorte que l’on peut considérer que le poursuivi a entièrement succombé. Ce point n’est du reste pas contesté par le recourant. La valeur litigieuse s’élevait à 30’628 francs. Conformément à l’art. 6 TDC, le poursuivant pouvait donc prétendre à un défraiement compris entre 1'500 et 6'000 francs. La requête déposée le 11 février 2013 par le poursuivant comporte cinq pages. Elle contient une présentation des faits ainsi qu’une argumentation juridique. L’acte était en outre accompagné d’un bordereau de pièces. On ne saurait donc considérer qu’il s’agit d’une écriture "extrêmement succincte" telle que celle envisagée par la jurisprudence pour justifier une réduction des dépens. L’existence d’une procédure parallèle menée par le même avocat sur la base d’un état de fait identique ne ressort pas du dossier constitué en première instance. La décision qui aurait été rendue dans cette autre affaire (KC13.012704/ABR) n’a pas été contestée de sorte qu’il n’est pas possible pour la cour de céans de se convaincre de son existence ni de vérifier son degré de similitude avec la présente cause. On relèvera par ailleurs qu’il ressort des explications du recourant que l’affaire parallèle invoquée, si elle concernait peut-être le même avocat et le même débiteur, ne semble en revanche pas avoir concerné le même créancier. La seconde hypothèse envisagée pour justifier une réduction des dépens n’est ainsi pas établie. Pour le reste, il faut constater que le montant de 2'000 fr. alloués par le premier juge se situe à l’intérieur de la fourchette prévue par l’art. 6 TDC. Il correspond à l’équivalent d’environ 5 heures 30 de travail facturées à 350 fr. (voir rapport explicatif sur le nouveau tarif des dépens en matière civile, p. 6) augmenté de 5 % pour tenir compte des débours nécessaires. Compte tenu de l’écriture déposée, de l’importance de la cause, de ses difficultés et du fait qu’une audience s’est tenue le 3 juin 2013 en présence de l’intimé et de son conseil, il convient de considérer que le montant alloué est justifié. III. En définitive, aucune disproportion ne pouvant être constatée, le recours doit être rejeté et le prononcé confirmé. Les frais judiciaires de deuxième instance, arrêtés à 270 fr., sont mis à la charge du recourant. Celui-ci doit en outre verser à l’intimée la somme de 200 fr. (art.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