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32 vom 4. Februar 2014</w:t>
      </w:r>
    </w:p>
    <w:p>
      <w:r>
        <w:t>VD Tribunal cantonal, 2014-02-04, FR</w:t>
      </w:r>
    </w:p>
    <w:p>
      <w:r>
        <w:rPr>
          <w:b/>
        </w:rPr>
        <w:t xml:space="preserve">Quelle: </w:t>
      </w:r>
      <w:r>
        <w:t>https://mcp.opencaselaw.ch/entscheid/vd_findinfo_ML___2014___32</w:t>
      </w:r>
    </w:p>
    <w:p>
      <w:r>
        <w:t>FR: VD_FINDINFO ML / 2014 / 32 du 4 février 2014</w:t>
      </w:r>
    </w:p>
    <w:p>
      <w:r>
        <w:t>IT: VD_FINDINFO ML / 2014 / 32 del 4 febbraio 2014</w:t>
      </w:r>
    </w:p>
    <w:p>
      <w:pPr>
        <w:pStyle w:val="Heading2"/>
      </w:pPr>
      <w:r>
        <w:t>Regeste</w:t>
      </w:r>
    </w:p>
    <w:p>
      <w:r>
        <w:t>OBLIGATION DE CHIFFRER LES CONCLUSIONS, DÉCISION D'IRRECEVABILITÉ, OBSERVATION DU DÉLAI | 321 al. 1 CPC (CH), 321 al. 2 CPC (CH)</w:t>
      </w:r>
    </w:p>
    <w:p>
      <w:pPr>
        <w:pStyle w:val="Heading2"/>
      </w:pPr>
      <w:r>
        <w:t>Volltext</w:t>
      </w:r>
    </w:p>
    <w:p>
      <w:r>
        <w:t>Vaud Tribunal cantonal Cour des poursuites et faillites 04.02.2014 ML / 2014 / 32</w:t>
      </w:r>
    </w:p>
    <w:p>
      <w:r>
        <w:t>OBLIGATION DE CHIFFRER LES CONCLUSIONS, DÉCISION D'IRRECEVABILITÉ, OBSERVATION DU DÉLAI | 321 al. 1 CPC (CH), 321 al. 2 CPC (CH)</w:t>
      </w:r>
    </w:p>
    <w:p>
      <w:r>
        <w:t>TRIBUNAL CANTONAL KC13.038910-132421 45 Cour des poursuites et faillites ________________________________________________ Arrêt du 4 février 2014 __________________ Présidence de               M. Sauterel , président Juges :              Mmes Byrde et Rouleau Greffier : Mme              Joye ***** Art. 321 al. 1 et 2 CPC Vu le prononcé rendu le 14 novembre 2013, à la suite de l'audience du 25 octobre 2013, par le Juge de paix du district de Lausanne, prononçant la mainlevée provisoire de l'opposition formée par X.________ , au Mont-sur-Lausanne, à la poursuite n° 6'632’742 de l'Office des poursuites du district de Lausanne exercée par la B.________ , à Genève, vu la déclaration de recours, valant demande de motivation, adressée au juge de paix par X.________ le 4 décembre 2013, vu le prononcé motivé adressé pour notification aux parties le 17 décembre 2013, vu le nouvel acte de recours déposé par X.________ le 19 décembre 2013, vu le prononcé rendu le 23 décembre 2013 par le président de céans prononçant l’effet suspensif requis par la recourante ; attendu que, selon l'art. 321 al. 1 CPC (Code de procédure civile du 19 décembre 2008; RS 272), le recours s'exerce par le dépôt d'un acte écrit et motivé,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l’espèce, X.________ s’est vu notifier le dispositif de la décision le 15 novembre 2013, que le délai pour en demander la motivation arrivait à échéance le 25 novembre 2013, que l’écriture d’X.________ du 4 décembre 2013 était ainsi tardive et donc irrecevable, que la notification d'un prononcé motivé alors que le délai pour demander la motivation était échu ne fait pas renaître un délai de recours (CPF, 7 novembre 2000/479), qu’ainsi, l’acte de recours déposé le 19 décembre 2013 est également irrecevable, que de surcroît, ni l’acte du 4 décembre ni celui du 19 décembre 2013 ne sont motivés, c'est-à-dire comportent l'indication d'un moyen ou grief contre la décision de mainlevée, que la motivation de l'acte, soit l'indication des motifs de recours au sens de l'art. 320 CPC, est une condition de recevabilité du recours, qu’aucune des deux écritures d’X.________ ne satisfait à cette exigence de forme, vice qui n'est pas réparable (cf. par analogie : TF 5P.429/2006 du 11 décembre 2006), que pour ce second motif également, son recours doit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février 2014 L'arrêt qui précède, dont la rédaction a été approuvée à huis clos, prend date de ce jour. Il est notifié, par l'envoi de photocopies, à : ‑ Mme X.________, ‑ B.________. La Cour des poursuites et faillites considère que la valeur litigieuse est de 23'652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