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3 vom 14. Januar 2014</w:t>
      </w:r>
    </w:p>
    <w:p>
      <w:r>
        <w:t>VD Tribunal cantonal, 2014-01-14, FR</w:t>
      </w:r>
    </w:p>
    <w:p>
      <w:r>
        <w:rPr>
          <w:b/>
        </w:rPr>
        <w:t xml:space="preserve">Quelle: </w:t>
      </w:r>
      <w:r>
        <w:t>https://mcp.opencaselaw.ch/entscheid/vd_findinfo_ML___2014___3</w:t>
      </w:r>
    </w:p>
    <w:p>
      <w:r>
        <w:t>FR: VD_FINDINFO ML / 2014 / 3 du 14 janvier 2014</w:t>
      </w:r>
    </w:p>
    <w:p>
      <w:r>
        <w:t>IT: VD_FINDINFO ML / 2014 / 3 del 14 gennaio 2014</w:t>
      </w:r>
    </w:p>
    <w:p>
      <w:pPr>
        <w:pStyle w:val="Heading2"/>
      </w:pPr>
      <w:r>
        <w:t>Regeste</w:t>
      </w:r>
    </w:p>
    <w:p>
      <w:r>
        <w:t>DÉCISION D'IRRECEVABILITÉ, MOTIVATION DE LA DEMANDE | 321 al. 1 CPC (CH)</w:t>
      </w:r>
    </w:p>
    <w:p>
      <w:pPr>
        <w:pStyle w:val="Heading2"/>
      </w:pPr>
      <w:r>
        <w:t>Erwägungen</w:t>
      </w:r>
    </w:p>
    <w:p>
      <w:r>
        <w:rPr>
          <w:b/>
        </w:rPr>
        <w:t>E. 9</w:t>
      </w:r>
    </w:p>
    <w:p>
      <w:r>
        <w:t>Cour des poursuites et faillites ________________________________________________ Arrêt du</w:t>
      </w:r>
    </w:p>
    <w:p>
      <w:r>
        <w:rPr>
          <w:b/>
        </w:rPr>
        <w:t>E. 14</w:t>
      </w:r>
    </w:p>
    <w:p>
      <w:r>
        <w:t>janvier 2014 __________________ Présidence de               M. Sauterel , président Juges :              Mme Rouleau et M. Maillard Greffier : Mme              Nüssli ***** Art. 321 al. 1 CPC Vu le prononcé rendu le 29 octobre 2013 par le Juge de paix du district de Lausanne, statuant à la suite de l’audience du 10 octobre 2013 tenue par défaut du poursuivi, levant provisoirement, à concurrence de 35'000 fr., plus intérêt au taux de 5 % l’an dès le 1 er janvier 2013, l’opposition formée par Q.________ , au Mont-sur-Lausanne, à la poursuite n° 6'637'858 de l’Office des poursuites du district de Lausanne exercée contre lui à l’instance de la Communauté des copropriétaires J.________ , à Pully, représentée par V.________ SA , à Vevey, vu la notification de ce dispositif au poursuivi le 30 octobre 2013, vu la demande de motivation adressée le 7 novembre 2013 par le poursuivi au juge de paix, vu le prononcé motivé adressé pour notification aux parties le 25 novembre 2013, vu l’acte de recours déposé le 2 décembre 2013 par le poursuivi contre ce prononcé, vu la décision du 5 décembre 2013 du président de la cour de céans accordant l’effet suspensif requis par le recourant ; attendu que le recours a été formé dans le délai de dix jours à compter de la notification de la décision motivée, conformément à l'art. 321 al. 2 CPC (Code de procédure civile du 19 décembre 2008; RS 272), que la partie qui entend user d’une voie de droit a la charge de se conformer à certaines règles de forme, à défaut de quoi sa démarche sera frappée d’irrecevabilité (Jeandin, Code de procédure civile commenté,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 Jeandin, op. cit., nn. 3 et 5 ad art. 311 CPC ; Reetz/Teiler, Kommentar zum Zivilprozessordnung, 2 ème éd. Zurich 2013, n. 33 ad art. 311 CPC), que l’instance de recours doit pouvoir comprendre ce qui est reproché au premier juge sans avoir à rechercher des griefs par elle-même, ce qui exige une certaine précision quant à l’énoncé et à la discussion des griefs (CREC, 23 août 2011/143, CREC, 11 mai 2012/173 ; Jeandin, ibidem), qu’en l’espèce, le recours contient une conclusion en réforme dans le sens du maintien de l’opposition mais ne comporte aucune motivation, que le recourant indique qu’il développera ses moyens dans une mémoire ampliatif qu’il déposera dans le délai qui lui sera imparti à cet effet, que toutefois, le recours, comme l’appel, doit être déclaré et introduit par le biais d’une seule et unique écriture, de sorte qu’il n’est plus possible depuis l’entrée en vigueur du CPC, le 1 er janvier 2011, de produire une motivation après l’échéance du délai de recours (Jeandin, op. cit., n. 9 ad art. 311 CPC),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 décembre 2013, faute d’être motivé, ne satisfait pas aux exigences de forme posées par la loi et doit par conséquent être déclaré irrecevable ; attendu que le présent arrêt peut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