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284 vom 17. Dezember 2014</w:t>
      </w:r>
    </w:p>
    <w:p>
      <w:r>
        <w:t>VD Tribunal cantonal, 2014-12-17, FR</w:t>
      </w:r>
    </w:p>
    <w:p>
      <w:r>
        <w:rPr>
          <w:b/>
        </w:rPr>
        <w:t xml:space="preserve">Quelle: </w:t>
      </w:r>
      <w:r>
        <w:t>https://mcp.opencaselaw.ch/entscheid/vd_findinfo_ML___2014___284</w:t>
      </w:r>
    </w:p>
    <w:p>
      <w:r>
        <w:t>FR: VD_FINDINFO ML / 2014 / 284 du 17 décembre 2014</w:t>
      </w:r>
    </w:p>
    <w:p>
      <w:r>
        <w:t>IT: VD_FINDINFO ML / 2014 / 284 del 17 dicembre 2014</w:t>
      </w:r>
    </w:p>
    <w:p>
      <w:pPr>
        <w:pStyle w:val="Heading2"/>
      </w:pPr>
      <w:r>
        <w:t>Regeste</w:t>
      </w:r>
    </w:p>
    <w:p>
      <w:r>
        <w:t>MAINLEVÉE DÉFINITIVE, TITRE DE MAINLEVÉE, DÉCISION, AUTORITÉ ADMINISTRATIVE | 80 LP</w:t>
      </w:r>
    </w:p>
    <w:p>
      <w:pPr>
        <w:pStyle w:val="Heading2"/>
      </w:pPr>
      <w:r>
        <w:t>Erwägungen</w:t>
      </w:r>
    </w:p>
    <w:p>
      <w:r>
        <w:rPr>
          <w:b/>
        </w:rPr>
        <w:t>E. 19</w:t>
      </w:r>
    </w:p>
    <w:p>
      <w:r>
        <w:t>décembre 2008; RS 272). Ecrit et motivé, il est recevable à la forme (art. 321 al. 1 CPC). En revanche, les pièces nouvelles produites par le recourant sont irrecevables, l'art. 326 CPC prohibant la production de pièces nouvelles. II. a) Selon l'art. 80 al. 1 LP (loi sur la poursuite pour dettes et la faillite; RS 281.1), le créancier qui est au bénéfice d'un jugement exécutoire condamnant un débiteur à lui payer une somme d'argent peut requérir du juge la mainlevée définitive de l'opposition. Sont notamment assimilées à des jugements les décisions des autorités administratives suisses (art. 80 al. 2 ch. 2 LP).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(TF 5P.113/2002 du 1 er mai 2002). Une décision devient exécutoire après sa notification à l'administré si celui-ci, informé de son droit de recourir, n'en a pas usé (Panchaud/Caprez, op. cit., § 134).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Le juge de la mainlevée définitive n'a ni à revoir ni à interpréter le titre de mainlevée définitive produit (TF 5A_770/2011 du 23 janvier 2012 ; ATF 124 III 501, JT 1999 II 136). Il ne saurait ainsi remettre en question le bien-fondé de la décision produite, en se livrant à des considérations relevant du droit de fond relatives à l'existence matérielle de la créance (ATF 113 III 6, JT 1989 Il 70). En revanche, il doit examiner d’office l’existence du titre de mainlevée définitive dans la poursuite pendante, notamment son existence légale et le caractère exécutoire de la décision invoquée (Gilliéron, Commentaire de la loi fédérale sur la poursuite pour dettes et la faillite, nn. 11-12 ad art. 81 LP; cf. en matière fiscale : ATF 105 III 43, JT 1980 II 117). Pour justifier la mainlevée, la décision doit émaner d’une autorité compétente pour rendre de telles décisions (Panchaud/Caprez, op. cit., §§ 122, 123, 129 et 133; CPF 6 février 2014/50 ; CPF, 11 mars 2013/110; CPF, 15 avril 2010/172). Le poursuivi peut se libérer en prouvant par titre que la dette a été éteinte ou qu’il a obtenu un sursis, postérieurement au jugement, ou qu’il ne se prévale de la prescription (art. 81 al. 1 in fine LP). b) En vertu de l’art. 41 al. 1 de la loi sur l’action sociale vaudoise du 2 décembre 2003 (LASV ; RSV 850.051), la personne qui, dès la majorité, a obtenu des prestations du RI, y compris les frais particuliers ou aides exceptionnelles, est tenue au remboursement notamment lorsqu’elle les a obtenues indûment ; le bénéficiaire de bonne foi n’est tenu à restitution, totale ou partielle, que dans la mesure où il n’est pas mis de ce fait dans une situation difficile (let. a). L’autorité compétente réclame le  remboursement des prestations par voie de décision (art. 43 al. 1 LASV). La décision entrée en force est assimilée à un jugement exécutoire au sens de l’art. 80 LP (art. 43 al. 2 LASV). Conformément à l’art. 43a LASV, l’autorité compétente peut compenser les montants indûment perçus avec les prestations futures en prélevant chaque mois un montant équivalent à 15% de la prestation financière allouée. c) La décision de restitution du 3 juin 2013, qui indique les voie et délai de recours et qui est attestée définitive et exécutoire le 4 novembre suivant, constitue un titre à la mainlevée définitive conformément à l’art. 43 al. 2 LASV. La décision litigieuse mentionne que la créance est exigible, mais que l’autorité procédera au remboursement du montant dû par compensation, en prélevant chaque mois un montant équivalent à 15% de la prestation RI allouée. En procédant ainsi, l’autorité a fait application de l’art. 43a LASV, disposition qui ne peut s’appliquer que tant que des prestations RI sont effectivement versées. La décision le précise d’ailleurs puisqu’elle indique que « cette mesure restera en vigueur aussi longtemps que des prestations du RI vous seront délivrées et jusqu’à extinction de votre dette », ajoutant en substance que si des prestations RI devaient être à nouveau versées avant que la dette soit totalement éteinte, la compensation reprendrait. De fait, si les prestations RI cessent, le remboursement par compensation cesse également. Dans la mesure où – en raison de l’interruption des prestations RI - le paiement par compensation a pris fin, le recourant est en droit de réclamer le remboursement du solde de la créance, qui est exigible en vertu de la décision du 3 juin 2013. De son côté, l’intimé n’a établi aucun des moyens libératoires de l’art. 81 al. 1 in fine LP. Il résulte de ce qui précède que la décision précitée vaut titre de mainlevée définitive pour la poursuite en cours et que le recours est dès lors bien fondé. III. Le recours est ainsi admis et le prononcé réformé en ce sens que l’opposition est définitivement levée. Les frais de première instance, arrêtés à 150 fr., sont à la charge du poursuivi, de même que ceux de deuxième instance, arrêtés à 270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