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274 vom 3. Dezember 2014</w:t>
      </w:r>
    </w:p>
    <w:p>
      <w:r>
        <w:t>VD Tribunal cantonal, 2014-12-03, FR</w:t>
      </w:r>
    </w:p>
    <w:p>
      <w:r>
        <w:rPr>
          <w:b/>
        </w:rPr>
        <w:t xml:space="preserve">Quelle: </w:t>
      </w:r>
      <w:r>
        <w:t>https://mcp.opencaselaw.ch/entscheid/vd_findinfo_ML___2014___274</w:t>
      </w:r>
    </w:p>
    <w:p>
      <w:r>
        <w:t>FR: VD_FINDINFO ML / 2014 / 274 du 3 décembre 2014</w:t>
      </w:r>
    </w:p>
    <w:p>
      <w:r>
        <w:t>IT: VD_FINDINFO ML / 2014 / 274 del 3 dicembre 2014</w:t>
      </w:r>
    </w:p>
    <w:p>
      <w:pPr>
        <w:pStyle w:val="Heading2"/>
      </w:pPr>
      <w:r>
        <w:t>Regeste</w:t>
      </w:r>
    </w:p>
    <w:p>
      <w:r>
        <w:t>MOTIVATION DE LA DEMANDE, DÉCISION D'IRRECEVABILITÉ, ACTE DE RECOURS | 321 CPC</w:t>
      </w:r>
    </w:p>
    <w:p>
      <w:pPr>
        <w:pStyle w:val="Heading2"/>
      </w:pPr>
      <w:r>
        <w:t>Volltext</w:t>
      </w:r>
    </w:p>
    <w:p>
      <w:r>
        <w:t>Vaud Tribunal cantonal Cour des poursuites et faillites 03.12.2014 ML / 2014 / 274</w:t>
      </w:r>
    </w:p>
    <w:p>
      <w:r>
        <w:t>MOTIVATION DE LA DEMANDE, DÉCISION D'IRRECEVABILITÉ, ACTE DE RECOURS | 321 CPC</w:t>
      </w:r>
    </w:p>
    <w:p>
      <w:r>
        <w:t>TRIBUNAL CANTONAL KC14.027885-142001 397 Cour des poursuites et faillites ________________________________________________ Arrêt du 3 décembre 2014 _____________________ Présidence de               M. Sauterel , président Juges :              Mmes Carlsson et Byrde Greffier : Mme              Nüssli ***** Art. 321 al. 1 CPC Vu le prononcé rendu le 18 août 2014 par le Juge de paix du district du Jura-Nord vaudois prononçant la mainlevée définitive de l’opposition formée par M.________ , à Corcelles-sur-Chavornay, à la poursuite n° 7'070'801 de l’Office des poursuites du district du Jura-Nord vaudois exercée contre lui à l’instance de la CAISSE CANTONALE VAUDOISE DE COMPENSATION AVS , à Clarens, arrêtant à 180 fr. les frais judiciaires, compensés avec l’avance des frais de la poursuivante, et les mettant à la charge du poursuivi, qui doit en conséquence rembourser à la poursuivante son avance de frais à concurrence de 180 fr., sans allocation de dépens pour le surplus, vu la notification de ce dispositif au poursuivi le 19 août 2014, vu le courrier adressé au juge de paix, daté du 27 août et posté le lendemain, dans lequel le poursuivi écrit notamment : « Je pense que vous ne m’avez certainement pas compris. Je ne vais simplement pas verser un sous à la caisse cantonale Vaudoise de compensation tant qu’ils ne se seront pas prononcé sur mon cas. Ils sont en possession de tous les documents officiels et j’aimerai qu’ils m’écrivent pour m’informer de la suite qu’ils vont donner à cette affaire. Je m’oppose à cette décision (…) », vu les motifs du prononcé adressés pour notification aux parties le 15 octobre 2014, vu la transmission du dossier par le juge de paix à la cour de céans, autorité de recours, le 11 novembre 2014;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28 août 2014 au Juge de paix du district du Jura-Nord vaudois,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que selon une partie de la doctrine, le recours devrait comporter des conclusions, voire même des conclusions au fond et non seulement cassatoires, sous peine d'irrecevabilité (Jeandin,  op. cit., n. 5 ad art. 321 CPC et le renvoi à la n. 4 ad art. 311 CPC; Freiburghaus/Afheldt, in Sutter-Somm et al., Kommentar zur Schweizerischen Zivilprozessordnung, 2010, n. 14 ad art. 321 CPC), qu'on ne voit pas ce qui justifierait de déclarer d'emblée irrecevable le recours tendant uniquement à l'annulation de la décision, étayé exclusivement par un grief formel (CPF, 30 décembre 2011/548), qu'il suffit que la motivation du recours permette de comprendre ce que le recourant veut obtenir, faute de quoi l'intérêt au recours n'est pas démontré (CPF 2011/548 précité;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il ne ressort pas de l’acte du 28 août 2014 une volonté claire de recourir, que cet écrit ne contient aucun grief, motif ou moyen de recours reconnaissable contre la décision de mainlevée, le recourant déclarant ne pas vouloir verser un quelconque montant à la poursuivante tant que celle-ci ne sera pas prononcée sur une demande d’allocations familiales déposée par le recourant, que, ce faisant, le recourant ne conteste pas la décision du premier juge ni même la créance en poursuite mais indique vouloir faire pression sur la poursuivante pour qu’elle se détermine dans un autre dossier, que le recourant n'a pas déposé d'autre acte après réception de la décision de mainlevée motivée,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28 août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décembre 2014 L'arrêt qui précède, dont la rédaction a été approuvée à huis clos, prend date de ce jour. Il est notifié, par l'envoi de photocopies, à : ‑ M. M.________, ‑ Caisse cantonale vaudoise de compensation AVS. La Cour des poursuites et faillites considère que la valeur litigieuse est de 4’860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