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256 vom 30. Oktober 2014</w:t>
      </w:r>
    </w:p>
    <w:p>
      <w:r>
        <w:t>VD Tribunal cantonal, 2014-10-30, FR</w:t>
      </w:r>
    </w:p>
    <w:p>
      <w:r>
        <w:rPr>
          <w:b/>
        </w:rPr>
        <w:t xml:space="preserve">Quelle: </w:t>
      </w:r>
      <w:r>
        <w:t>https://mcp.opencaselaw.ch/entscheid/vd_findinfo_ML___2014___256</w:t>
      </w:r>
    </w:p>
    <w:p>
      <w:r>
        <w:t>FR: VD_FINDINFO ML / 2014 / 256 du 30 octobre 2014</w:t>
      </w:r>
    </w:p>
    <w:p>
      <w:r>
        <w:t>IT: VD_FINDINFO ML / 2014 / 256 del 30 ottobre 2014</w:t>
      </w:r>
    </w:p>
    <w:p>
      <w:pPr>
        <w:pStyle w:val="Heading2"/>
      </w:pPr>
      <w:r>
        <w:t>Regeste</w:t>
      </w:r>
    </w:p>
    <w:p>
      <w:r>
        <w:t>DÉCISION D'IRRECEVABILITÉ, CONCLUSIONS, MOTIVATION DE LA DEMANDE | 321 al. 1 CPC (CH)</w:t>
      </w:r>
    </w:p>
    <w:p>
      <w:pPr>
        <w:pStyle w:val="Heading2"/>
      </w:pPr>
      <w:r>
        <w:t>Volltext</w:t>
      </w:r>
    </w:p>
    <w:p>
      <w:r>
        <w:t>Vaud Tribunal cantonal Cour des poursuites et faillites 30.10.2014 ML / 2014 / 256</w:t>
      </w:r>
    </w:p>
    <w:p>
      <w:r>
        <w:t>DÉCISION D'IRRECEVABILITÉ, CONCLUSIONS, MOTIVATION DE LA DEMANDE | 321 al. 1 CPC (CH)</w:t>
      </w:r>
    </w:p>
    <w:p>
      <w:r>
        <w:t>TRIBUNAL CANTONAL KC14.020564-141842 369 Cour des poursuites et faillites ________________________________________________ Arrêt du 30 octobre 2014 ___________________ Présidence de               Mme Rouleau , vice-présidente Juges :              Mme Carlsson et M. Hack Greffier : Mme              Nüssli ***** Art. 321 al. 1 CPC Vu le prononcé rendu le 24 juillet 2014 par le Juge de paix du district de Lausanne, statuant à la suite de l’audience du 2 juillet 2014, prononçant la mainlevée provisoire de l’opposition formée par S.________ , à Lausanne, à la poursuite n° 6'989'152 de l’Office des poursuites du district de Lausanne exercée contre lui à l’instance de L.________ , à Fleurier, arrêtant à 150 fr. les frais judiciaires, compensés avec l’avance de frais de la poursuivante, et les mettant à la charge du poursuivi, qui doit en conséquence rembourser à la poursuivante son avance de frais à concurrence de 150 francs, sans allocation de dépens pour le surplus, vu la notification de ce dispositif au poursuivi le 4 août 2014, vu le courrier, intitulé « lettre de réclamation », adressé le 8 août 2014 au juge de paix par le poursuivi, qui déclare en substance ne pas contester la créance en poursuite, mais avoir proposé à la poursuivante de la payer par mensualités en raison de problèmes de santé, et qui renouvelle sa proposition de paiements échelonnés, vu la lettre du juge de paix du 14 août 2014, constatant que le courrier précité est illisible, mais qu’il semble en ressortir que le prononcé du 24 juillet 2014 est contesté, et informant le poursuivi que, sauf avis contraire de celui-ci jusqu’au 26 août 2014, il sera considéré comme valant demande de motivation, vu les motifs du prononcé adressés pour notification aux parties le 17 septembre 2014, vu la transmission du dossier par le juge de paix à la cour de céans, autorité de recours, le 9 octobre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la "lettre de réclamation" adressée le 8 août 2014 au Juge de paix du district de Lausanne, considérée comme un recours, a ainsi été déposée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selon une partie de la doctrine, le recours devrait comporter des conclusions, voire même des conclusions au fond et non seulement cassatoires, sous peine d'irrecevabilité (Jeandin,  op. cit., n. 5 ad art. 321 CPC et le renvoi à la n. 4 ad art. 311 CPC; Freiburghaus/Afheldt, in Sutter-Somm et al., Kommentar zur Schweizerischen Zivilprozessordnung, 2010, n. 14 ad art. 321 CPC), qu'on ne voit pas ce qui justifierait de déclarer d'emblée irrecevable le recours tendant uniquement à l'annulation de la décision, étayé exclusivement par un grief formel (CPF, 30 décembre 2011/548), qu'il suffit que la motivation du recours permette de comprendre ce que le recourant veut obtenir, faute de quoi l'intérêt au recours n'est pas démontré (CPF 2011/548 précité;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il ne ressort pas de l’acte du 8 août 2014 une volonté claire de recourir, que cet écrit ne contient aucun grief, motif ou moyen de recours reconnaissable contre la décision de mainlevée, le recourant déclarant ne pas contester la créance en poursuite mais proposant le paiement de celle-ci par acomptes, que le recourant n'a pas déposé d'autre acte après réception de la décision de mainlevée motivée,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8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30 octobre 2014 L'arrêt qui précède, dont la rédaction a été approuvée à huis clos, prend date de ce jour. Il est notifié, par l'envoi de photocopies, à : ‑ M. S.________, ‑ L.________. La Cour des poursuites et faillites considère que la valeur litigieuse est de 3'781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