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225 vom 23. September 2014</w:t>
      </w:r>
    </w:p>
    <w:p>
      <w:r>
        <w:t>VD Tribunal cantonal, 2014-09-23, FR</w:t>
      </w:r>
    </w:p>
    <w:p>
      <w:r>
        <w:rPr>
          <w:b/>
        </w:rPr>
        <w:t xml:space="preserve">Quelle: </w:t>
      </w:r>
      <w:r>
        <w:t>https://mcp.opencaselaw.ch/entscheid/vd_findinfo_ML___2014___225</w:t>
      </w:r>
    </w:p>
    <w:p>
      <w:r>
        <w:t>FR: VD_FINDINFO ML / 2014 / 225 du 23 septembre 2014</w:t>
      </w:r>
    </w:p>
    <w:p>
      <w:r>
        <w:t>IT: VD_FINDINFO ML / 2014 / 225 del 23 settembre 2014</w:t>
      </w:r>
    </w:p>
    <w:p>
      <w:pPr>
        <w:pStyle w:val="Heading2"/>
      </w:pPr>
      <w:r>
        <w:t>Regeste</w:t>
      </w:r>
    </w:p>
    <w:p>
      <w:r>
        <w:t>MOTIVATION DE LA DEMANDE | 321 al. 1 CPC (CH)</w:t>
      </w:r>
    </w:p>
    <w:p>
      <w:pPr>
        <w:pStyle w:val="Heading2"/>
      </w:pPr>
      <w:r>
        <w:t>Volltext</w:t>
      </w:r>
    </w:p>
    <w:p>
      <w:r>
        <w:t>Vaud Tribunal cantonal Cour des poursuites et faillites 23.09.2014 ML / 2014 / 225</w:t>
      </w:r>
    </w:p>
    <w:p>
      <w:r>
        <w:t>MOTIVATION DE LA DEMANDE | 321 al. 1 CPC (CH)</w:t>
      </w:r>
    </w:p>
    <w:p>
      <w:r>
        <w:t>TRIBUNAL CANTONAL KC14.021688-141541 331 Cour des poursuites et faillites ________________________________________________ Arrêt du 23 septembre 2014 _______________________ Présidence de               M. Sauterel , président Juges :              Mmes Carlsson et Byrde Greffier : Mme              van Ouwenaller ***** Art. 321 al. 1 CPC Vu la décision rendue le 1 er juillet 2014, à la suite de l'audience du 30 juin 2014, par le Juge de paix du district de la Broye – Vully, prononçant, à concurrence de 29'500 fr. avec intérêt à 5 % l'an dès le 12 avril 2014, la mainlevée provisoire de l'opposition formée par J.________ , à Corcelles-le-Jorat, à la poursuite n° 7'007'172 de l'Office des poursuites du district de la Broye – Vully, intentée à son encontre à l'instance d' H.________ , à Renens, arrêtant à 360 fr. les frais judiciaires mis à la charge du poursuivi et disant qu'en conséquence celui-ci rembourserait à la poursuivante son avance de frais à concurrence de 360 fr. et lui verserait la somme de 750 fr. à titre de dépens, vu la demande de motivation formée par le poursuivi le 2 juillet 2014, vu les motifs de la décision adressés aux parties le 14 août 2014 et notifiés à au poursuivi le 16 août 2014, vu le recours formé le 25 août 2014 par le poursuivi, dont le contenu est le suivant: "Ces quelques lignes pour vous informer que […] nous formons au sens des articles 319 ss CPC recours au Tribunal cantonal quant à la mainlevée d'opposition qui nous oppose dans l'affaire mentionnée ci-dessus. Un mémoire écrit et motivé vous parviendra par l'intermédiaire de notre avocat […]."; attendu que selon l'art. 321 al. 1 CPC (Code de procédure civile du 19 décembre 2008; RS 272), le recours est introduit dans le délai de dix jours qui suit la notification de la décision motivée, que le recours déposé le 25 août 2014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25 août 2014 ne contient aucune conclusion ni aucun grief, motif ou moyen de recours reconnaissable contre la décision de mainlevée, le recourant exposant seulement qu'un mémoire sera adressé ultérieurement à l'autorité de recours,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25 août 2014,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23 septembre 2014 L'arrêt qui précède, dont la rédaction a été approuvée à huis clos, prend date de ce jour. Il est notifié, par l'envoi de photocopies, à : ‑ M. J.________, ‑ Me Diego Bischof, avocat (pour H.________). La Cour des poursuites et faillites considère que la valeur litigieuse est de 29'500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Vuilly.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