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219 vom 17. September 2014</w:t>
      </w:r>
    </w:p>
    <w:p>
      <w:r>
        <w:t>VD Tribunal cantonal, 2014-09-17, FR</w:t>
      </w:r>
    </w:p>
    <w:p>
      <w:r>
        <w:rPr>
          <w:b/>
        </w:rPr>
        <w:t xml:space="preserve">Quelle: </w:t>
      </w:r>
      <w:r>
        <w:t>https://mcp.opencaselaw.ch/entscheid/vd_findinfo_ML___2014___219</w:t>
      </w:r>
    </w:p>
    <w:p>
      <w:r>
        <w:t>FR: VD_FINDINFO ML / 2014 / 219 du 17 septembre 2014</w:t>
      </w:r>
    </w:p>
    <w:p>
      <w:r>
        <w:t>IT: VD_FINDINFO ML / 2014 / 219 del 17 settembre 2014</w:t>
      </w:r>
    </w:p>
    <w:p>
      <w:pPr>
        <w:pStyle w:val="Heading2"/>
      </w:pPr>
      <w:r>
        <w:t>Regeste</w:t>
      </w:r>
    </w:p>
    <w:p>
      <w:r>
        <w:t>DÉCISION D'IRRECEVABILITÉ, MOTIVATION DE LA DEMANDE | 321 al. 1 CPC (CH)</w:t>
      </w:r>
    </w:p>
    <w:p>
      <w:pPr>
        <w:pStyle w:val="Heading2"/>
      </w:pPr>
      <w:r>
        <w:t>Volltext</w:t>
      </w:r>
    </w:p>
    <w:p>
      <w:r>
        <w:t>Vaud Tribunal cantonal Cour des poursuites et faillites 17.09.2014 ML / 2014 / 219</w:t>
      </w:r>
    </w:p>
    <w:p>
      <w:r>
        <w:t>DÉCISION D'IRRECEVABILITÉ, MOTIVATION DE LA DEMANDE | 321 al. 1 CPC (CH)</w:t>
      </w:r>
    </w:p>
    <w:p>
      <w:r>
        <w:t>TRIBUNAL CANTONAL KC14.006001-141518 325 Cour des poursuites et faillites ________________________________________________ Arrêt du 17 septembre 2014 __________________ Présidence de               M. Sauterel , président Juges :              Mme Rouleau et M. Maillard Greffier : Mme              Nüssli ***** Art. 321 al. 1 CPC Vu le prononcé rendu le 21 mai 2014 par le Juge de paix du district de l’Ouest lausannois, statuant à la suite de l’audience du 8 mai 2014 tenue par défaut des parties, prononçant la mainlevée provisoire de l’opposition formée par D.________ , à Crissier, à la poursuite n° 6'853'369 de l’Office des poursuites du district de l’Ouest lausannois, en paiement de la somme de 19'000 fr., avec intérêt à 5 % l’an dès le 1 er avril 2012, exercée contre lui à l’instance d’ I.________ , à Ecublens, vu la notification de ce dispositif au poursuivi le 22 mai 2014, vu la lettre adressée au juge de paix le même jour par le poursuivi, qui, en référence au prononcé reçu déclare « faire opposition totale à cette poursuite », vu les motifs du prononcé adressés pour notification aux parties le 1 er juillet 2014 dont l’exemplaire envoyé au poursuivi a été retourné au greffe avec la mention « Retourné selon disposition formulée par l’expéditeur Non réclamé », vu la transmission du dossier par le juge de paix à la cour de céans, autorité de recours, le 25 août 2014;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22 mai 2014 au Juge de paix du district de l'Ouest lausannois a ainsi été déposé en temps utile ; attendu que la partie qui entend user d'une voie de droit a la charge de se conformer à certaines règles de forme, à défaut de quoi sa démarche sera frappée d'irrecevabilité (Jeandin, in Bhonet/Haldy/Jeandin/Schweizer/Tappy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Zurich 2010,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22 mai 2014 ne contient aucune conclusion ni aucun grief, motif ou moyen de recours reconnaissable contre la décision de mainlevée, le recourant se contentant de déclarer maintenir son opposition totale, que le recourant n'a pas déposé d'autre acte après la notification du prononcé motivé, qu’il ne saurait se plaindre de ne pas en avoir eu connaissance, qu’en effet, en vertu de l’art. 138 al. 3 let. a CPC, un acte est réputé notifié en cas d’envoi recommandé, lorsque celui-ci n’a pas été retiré à l’expiration d’un délai de sept jours à compter de l’échec de la remise, si le destinataire devait s’attendre à recevoir la notification, qu’en l’espèce, le poursuivi qui s’était opposé à la décision du juge de paix, devait s’attendre à recevoir une notification officielle, que le prononcé est par conséquent réputé lui avoir été notifié, que l'absence de motivation du recours est un vice qui n'est pas réparable (cf. par analogie : TF 5P.429/2006 du 11 décembre 2006),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22 mai 2014,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17 septembre 2014 L'arrêt qui précède, dont la rédaction a été approuvée à huis clos, prend date de ce jour. Il est notifié, par l'envoi de photocopies, à : ‑ M. D.________ ‑ Me Philippe Kenel, avocat (pour I.________). La Cour des poursuites et faillites considère que la valeur litigieuse est de 19’000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