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212 vom 5. November 2014</w:t>
      </w:r>
    </w:p>
    <w:p>
      <w:r>
        <w:t>VD Tribunal cantonal, 2014-11-05, FR</w:t>
      </w:r>
    </w:p>
    <w:p>
      <w:r>
        <w:rPr>
          <w:b/>
        </w:rPr>
        <w:t xml:space="preserve">Quelle: </w:t>
      </w:r>
      <w:r>
        <w:t>https://mcp.opencaselaw.ch/entscheid/vd_findinfo_ML___2014___212</w:t>
      </w:r>
    </w:p>
    <w:p>
      <w:r>
        <w:t>FR: VD_FINDINFO ML / 2014 / 212 du 5 novembre 2014</w:t>
      </w:r>
    </w:p>
    <w:p>
      <w:r>
        <w:t>IT: VD_FINDINFO ML / 2014 / 212 del 5 novembre 2014</w:t>
      </w:r>
    </w:p>
    <w:p>
      <w:pPr>
        <w:pStyle w:val="Heading2"/>
      </w:pPr>
      <w:r>
        <w:t>Regeste</w:t>
      </w:r>
    </w:p>
    <w:p>
      <w:r>
        <w:t>MAINLEVÉE PROVISOIRE, TITRE DE MAINLEVÉE, CAUTIONNEMENT SOLIDAIRE, CALCUL | 82 LP</w:t>
      </w:r>
    </w:p>
    <w:p>
      <w:pPr>
        <w:pStyle w:val="Heading2"/>
      </w:pPr>
      <w:r>
        <w:t>Erwägungen</w:t>
      </w:r>
    </w:p>
    <w:p>
      <w:r>
        <w:rPr>
          <w:b/>
        </w:rPr>
        <w:t>E. 2</w:t>
      </w:r>
    </w:p>
    <w:p>
      <w:r>
        <w:t>Cst. (Constitution fédérale de la Confédération suisse du 18 avril 1999; RS 101) (ATF 137 I 195). Au demeurant, ces écritures ne contiennent, en définitive, aucun élément nouveau. II. a) aa) Selon l'art. 82 al. 1 LP,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136 III 624, c. 4.2.2 et 627, c. 2 et les références citées ; ATF 132 III 480, JT 2007 II 75 ; ATF 130 III 87, JT 2004 II 118 ; ATF 122 III 125, JT 1998 II 82 ; Panchaud/Caprez, La mainlevée d'opposition, Zurich 1980, § 1, pp. 2-4 ; Gilliéron, Commentaire de la loi fédérale sur la poursuite pour dettes et la faillite, t. I, Lausanne 1999, n. 29 ad art. 82 LP, p. 1273). La procédure de mainlevée est une procédure sur pièces,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 art. 82 al. 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p. 1275).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p. 1275). bb) Conformément à l'art. 82 al. 2 LP, le poursuivi peut faire échec à la mainlevée en rendant immédiatement vraisemblable sa libération (ATF 96 I 4 c. 2 p. 8 s.). Le poursuivi peut se prévaloir de tous les moyens de droit civil – exceptions ou objections – qui infirment la reconnaissance de dette (ATF 131 III 268 c. 3.2 p. 273). Il n'a pas à apporter la preuve absolue (ou stricte) de ses moyens libératoires, mais seulement à les rendre vraisemblables, en principe par titre (art. 254 al. 1 CPC; TF 5A_878/2011 du 5 mars 2012 c. 2.2). Le juge n'a pas à être persuadé de l'existence des faits allégués; il doit, en se fondant sur des éléments objectifs, avoir l'impression qu'ils se sont produits, sans exclure pour autant la possibilité qu'ils se soient déroulés autrement (ATF 132 III 140 c. 4.1.2 p. 143). En présence d’une reconnaissance de dette énonçant la cause de l’obligation, le débiteur qui conteste la dette doit, pour être libéré de son obligation, démontrer que la cause inscrite dans cette reconnaissance de dette n’est pas valable ou ne peut plus être invoquée (TF 4A_119/2010 du 29 avril 2010). Il lui appartient de rendre vraisemblables ses moyens libératoires par la production en première instance de toutes pièces utiles. Le débiteur n'a pas à apporter la preuve absolue (ou stricte) de ses moyens libératoires, mais seulement leur simple vraisemblance (ATF 130 III 321 c. 3.3., p. 325 ; ATF 132 III 140 c. 4.1.1. p. 142). b) En l’espèce, le commandement de payer indique comme cause "Convention du 10 novembre 2009 et avenant du 22 mars 2013". De fait, il n’est pas contesté que le recourant et l’intimé ont signé les deux conventions en cause, la première prévoyant à son chiffre I, § 1, qu’C.________ s’engage à verser à six créanciers solidairement entre eux – dont le poursuivant B.________ – la somme de 225'000 fr. selon des modalités précisées aux chiffres II et III, et la seconde modifiant lesdites modalités de paiement. La convention du 10 novembre 2009 expose en préambule que ses signataires (plus N.________) avaient signé une précédente convention, du 29 mai 2008, par laquelle C.________ s’engageait à leur verser 300'000 fr. le 31 juillet 2008 au plus tard, que cette dette prenait origine dans un engagement de ce dernier à mettre à disposition cette somme dès la fin du mois de mai 2007 dans le cadre d’une procédure pénale ouverte contre K.________, qu’C.________ n’avait pas été en mesure d’honorer ses engagements en temps voulu, que les signataires avaient fait alors notifier six commandements de payer à l’intéressé, libres de toute opposition ; le préambule se conclut ainsi : "Des pourparlers entre parties sont arrivés à la présente Convention visant à fixer les modalités du remboursement de la somme précitée, moins la part concernant Madame N.________, ainsi que les conséquences éventuelles du non-respect de dites modalités". aa) Dans un premier moyen, le recourant fait valoir que la convention conclue en 2008, à laquelle se réfère celle du 10 novembre 2009, n’a pas été produite par l’intimé. Il s’agirait pour lui d’un "vice de forme" qui ne permettrait pas de comprendre la transition entre le jugement du Tribunal correctionnel de 2007 (où il ne s’engageait à rien) et la convention de 2009 et son avenant de 2013 (où il s’engage à payer des sommes importantes). Ce grief est mal fondé. Manifestement, la convention du 10 novembre 2009 est autonome, et son préambule permet de comprendre qu’elle remplace la convention de 2008, du moins entre les parties qui l’ont signée, soit les sept signataires de la convention de 2008 moins N.________, dont le préambule dit qu’elle se désintéresse de la procédure et qu’elle n’a pas intenté de poursuite à l’encontre d’C.________. Au demeurant, et contrairement à ce que le recourant soutient, la transition entre le jugement pénal et les conventions qu’il a signées postérieurement ressort des motifs du jugement pénal, qui retiennent que K.________ a signé une convention de remboursement avec les parties civiles basée sur l’engagement d’C.________ de lui verser d’ici la fin du mois de mai une somme de 300'000 francs. En outre, il apparaît au vu de la transaction passée lors de l’audience pénale entre K.________, d’une part, et les parties civiles et plaignantes – dont le poursuivant – d’autre part, qu’il était prévu que le montant de 300'000 fr. en question correspondrait à un prêt d’C.________ à K.________ (créance qu’il était prévu de postposer à celles des parties civiles) et que c’est au moyen de ce prêt que l’accusé devait être en mesure d’exécuter au moins partiellement son engagement de dédommager les parties civiles (laquelle conditionnait aussi le sursis). Certes, il faut reconnaître avec le recourant que le procès-verbal de l’audience ne contient pas un engagement signé d’C.________ de verser 300'000 fr. à K.________ dès la fin du mois de mai 2007, mais seulement une déclaration de celui-ci selon laquelle il est prêt à le faire. Mais cet élément s’explique, et il est sans portée : C.________ comparaissait à l’audience pénale comme témoin, et non comme partie. De plus, la question n’est pas en l’occurrence de savoir si K.________ dispose d’une reconnaissance de dette signée par C.________, mais si B.________ en a une. Quoi qu’il en soit, il ressort du préambule de la convention de 2009 qu’C.________ n’a pas versé les 300'000 fr. qu’il s’était déclaré être prêt à mettre à la disposition de K.________ et que c’est pour cette raison qu’en 2008 et 2009 les parties civiles ont passé des conventions directement avec lui. bb) Dans un second moyen, le recourant se prévaut du chiffre I § 2 de la convention du 10 novembre 2009, qui prévoit ce qui suit : "Monsieur K.________ procédant également de son côté à des versements en faveur de Monsieur R.________, Madame F.________, Monsieur T.________, Monsieur S.________, Monsieur B.________ et Monsieur Z.________, l’engagement pris par Monsieur C.________ [i.e au chiffre I § 1, de leur verser 225'000 fr.] ne saurait aller au-delà de la dette de Monsieur K.________, de sorte que sitôt par hypothèse le total des montants payés par ce dernier et Monsieur C.________ aurait atteint le montant de dite dette en capital et intérêts, toute obligation résiduelle de celui-ci à l’égard des signataires de la présente Convention s’éteindrait ipso facto". Le recourant voit dans le chiffre I § 2 de la convention du 10 novembre 2009 une réserve, qui exclut qu’il doive payer plus que ce que K.________ doit ; il précise que selon le jugement pénal, K.________ s’est engagé à payer aux lésés 1'600 fr. par mois, soit 19'200 fr. par an, paiement qui conditionne l’octroi du sursis, et qu’il ressort de l’avenant de 2013 que celui-ci a cessé de verser 7'200 fr. par semestre le 31 décembre 2011. Or, le recourant fait remarquer qu’aucun décompte des montants payés par K.________, ni a fortiori aucun décompte documenté, n’a été produit par le poursuivant, si bien que le montant de la dette résiduelle est indéterminé et indéterminable. Il en déduit qu’il existe un risque, non déterminé par la procédure de mainlevée, que le poursuivant et/ou ses consorts se voient trop payés et que sa prétendue dette soit en réalité éteinte en tout ou partie sans qu’il n’en sache rien. De fait, il faut bien reconnaître avec le recourant que le chiffre I § 2 de la convention de 2009 contient une limite à l’engagement de celui-ci de s’acquitter du montant de 225'000 francs. En effet, l'engagement pris par le poursuivi est d'un maximum de 225'000 fr., mais correspond en réalité à celui de K.________, dont il reste à déterminer le montant initial et éventuellement le solde actuel, qu'il appartient au créancier d'établir. La proposition "de sorte que" est la conséquence logique du fait que "l'engagement pris ne saurait aller au-delà de la dette de Monsieur K.________", liée à l'échelonnement dans le temps des paiements du poursuivi et de K.________. La dette initiale de K.________, selon le préambule de la convention, semble être de 300'000 fr., mais ce n'est pas clair (le poursuivant mentionne un montant plus élevé résultant en effet de la procédure pénale). En d'autres termes, la convention n'indique même pas quel est le montant de "la dette de Monsieur K.________" au-delà de laquelle l'engagement du poursuivi ne saurait aller. De plus, il est indiqué dans la convention que K.________ procède à des versements périodiques. Il est admis que ces paiements ont commencé avant et continué après la signature de la convention. Or, on ne sait pas exactement ce qui a été payé au total, de sorte que l'on ignore si la dette de K.________ est toujours d'au moins 175'000 fr., montant réclamé en poursuite. La dette n'est donc pas déterminable. En définitive, il est impossible de déterminer le montant de la prétention déduite en poursuite, de sorte que l'opposition au commandement de payer doit être maintenue. III. Le recours doit donc être admis et le prononcé réformé en ce sens que l'opposition au commandement de payer est maintenue. Les frais judiciaires de première instance, arrêtés à 660 fr., sont mis à la charge du poursuivant qui succombe (art. 106 al. 1 CPC). Ce dernier doit verser au poursuivi la somme de 3'000 fr. à titre de dépens de première instance (art. 3 et 6 TDC [Tarif des dépens en matière civile du 23 novembre 2010; RSV 270.11.6). Les frais judiciaires de deuxième instance, arrêtés à 900 fr., sont mis à la charge de l'intimé (art. 106 CPC). Ce dernier doit verser au recourant la somme de 2'500 fr. à titre de dépens de deuxième instance (art. 3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