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199 vom 9. Juli 2014</w:t>
      </w:r>
    </w:p>
    <w:p>
      <w:r>
        <w:t>VD Tribunal cantonal, 2014-07-09, FR</w:t>
      </w:r>
    </w:p>
    <w:p>
      <w:r>
        <w:rPr>
          <w:b/>
        </w:rPr>
        <w:t xml:space="preserve">Quelle: </w:t>
      </w:r>
      <w:r>
        <w:t>https://mcp.opencaselaw.ch/entscheid/vd_findinfo_ML___2014___199</w:t>
      </w:r>
    </w:p>
    <w:p>
      <w:r>
        <w:t>FR: VD_FINDINFO ML / 2014 / 199 du 9 juillet 2014</w:t>
      </w:r>
    </w:p>
    <w:p>
      <w:r>
        <w:t>IT: VD_FINDINFO ML / 2014 / 199 del 9 luglio 2014</w:t>
      </w:r>
    </w:p>
    <w:p>
      <w:pPr>
        <w:pStyle w:val="Heading2"/>
      </w:pPr>
      <w:r>
        <w:t>Regeste</w:t>
      </w:r>
    </w:p>
    <w:p>
      <w:r>
        <w:t>MAINLEVÉE PROVISOIRE, INTERPRÉTATION{SENS GÉNÉRAL} | 18 CO, 82 LP</w:t>
      </w:r>
    </w:p>
    <w:p>
      <w:pPr>
        <w:pStyle w:val="Heading2"/>
      </w:pPr>
      <w:r>
        <w:t>Erwägungen</w:t>
      </w:r>
    </w:p>
    <w:p>
      <w:r>
        <w:rPr>
          <w:b/>
        </w:rPr>
        <w:t>E. 1</w:t>
      </w:r>
    </w:p>
    <w:p>
      <w:r>
        <w:t>er janvier 2013, pour autant que la dénonciation intervienne au moins nonante jours plus tôt.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132 III 480 c. 4.1, JT 2007 II 75 ; ATF 130 III 87 c. 3.1, JT 2004 II 118 ; ATF 122 III 125 c. 2, JT 1998 II 82). La reconnaissance de dette ne justifie la mainlevée de l’opposition que pour les créances qui étaient exigibles au jour de la réquisition de poursuite. Il appartient à la partie poursuivante de produire un titre de mainlevée ainsi que les pièces de nature à prouver l’exigibilité de sa prétention au jour du dépôt de la réquisition de poursuite (Panchaud/Caprez, op. cit., § 14 ; Gilliéron, op. cit., n. 69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La procédure de mainlevée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rés. in JT 2006 Il 187 ; art. 82 al. 2 LP).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(Panchaud/Caprez, op. cit., § 1, n. 12).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 réelle et commune intention des parties », le cas échéant empiriquement, sur la base d’indices (art. 18 al. 1 CO [Code des obligations du 30 mars 1911, RS 220) ; ATF 131 III 606, rés. in JT 2006 1126 ; ATF 125 III 305,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 ATF 129 III 702, JT 2004 I 535). Le recourant relève que, dans une autre affaire comportant une clause relative à la dénonciation identique, un juge de paix a fait la même interprétation que lui. Cette allégation censée résulter de la pièce produite avec le recours ne peut être vérifiée puisque la pièce nouvelle est irrecevable. Quoi qu’il en soit, on ne peut pas dire que la clause soit limpide puisque les parties en ont des compréhensions différentes. On ne sait évidemment rien de leur(s) volonté(s). A la seule lecture du texte, l’interprétation du recourant paraît correcte. On comprend que la dénonciation peut être faite dès le 1 er janvier 2013, et non que le contrat peut être dénoncé pour le 1 er janvier 2013. Le texte oppose la dénonciation de l’emprunteur, qui peut être faite en tout temps, à celle du prêteur, qui ne peut être faite qu’à partir d’une certaine date. Cela signifie que le capital du prêt n’était pas exigible au moment de la poursuite. En revanche, les intérêts des années 2010, 2011 et 2012 étaient, eux, exigibles indépendamment de toute dénonciation. La mainlevée pouvait être accordée pour la somme de 29’417 fr. 04 sans intérêt, dès lors que, fait notoire, le jour de la réquisition de poursuite, un euro valait plus qu’un franc suisse et que la conversion à un taux de parité est donc favorable au débiteur. b) Bien que le recourant ne fasse valoir aucun grief contre la constatation de l’existence du gage, et ne prenne aucune conclusion expresse à ce sujet, il faut examiner le bien-fondé de cette décision. Le contrat fondant la poursuite, qui annule les précédents, ne prévoit en effet aucune garantie. Cela étant, le gage mobilier est constitué par le nantissement ; une autre forme n’est pas requise. On peut dès lors considérer qu’il y a bien un gage mobilier, le poursuivi ne le contestant apparemment pas. III. En conclusion, le recours doit être partiellement admis en ce sens que l’opposition est provisoirement levée à concurrence de 29'417 fr.</w:t>
      </w:r>
    </w:p>
    <w:p>
      <w:r>
        <w:rPr>
          <w:b/>
        </w:rPr>
        <w:t>E. 04</w:t>
      </w:r>
    </w:p>
    <w:p>
      <w:r>
        <w:t>sans intérêt. L’opposition est maintenue pour le surplus. Les frais de première et deuxième instances doivent être mis à la charge du poursuivant à raison de neuf dixièmes et de l’Etat - puisque le poursuivi est à l’assistance judiciaire - à raison d’un dixième. En première instance, le poursuivant, qui obtient très partiellement gain de cause, a droit à des dépens réduits de neuf dixièmes, soit 300 fr. à titre de défraiement pour son avocat. Il aura en outre droit à la restitution par l’Etat d’un dixième de son avance de frais, le poursuivi étant tenu au remboursement de cette part de frais conformément à l’art. 123 CPC. En deuxième instance, c’est le poursuivi qui obtient gain de cause sur l’essentiel et a droit à des dépens réduits d’un dixième, à savoir 1’080 fr. (art.</w:t>
      </w:r>
    </w:p>
    <w:p>
      <w:r>
        <w:rPr>
          <w:b/>
        </w:rPr>
        <w:t>E. 8</w:t>
      </w:r>
    </w:p>
    <w:p>
      <w:r>
        <w:t>TDC [Tarif des dépens en matière civile du 23 novembre 2010 ; RSV 270.11.6]) pour ses frais d’avocat. Son conseil d'office a droit à une indemnité pour la deuxième instance qu’il faut fixer par estimation, faute de liste des opérations, à 600 fr. pour environ trois heures de travail, des débours et la TVA ; cette indemnité est remboursable par le poursuivi aux conditions de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