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2014 / 186 vom 16. Juli 2014</w:t>
      </w:r>
    </w:p>
    <w:p>
      <w:r>
        <w:t>VD Tribunal cantonal, 2014-07-16, FR</w:t>
      </w:r>
    </w:p>
    <w:p>
      <w:r>
        <w:rPr>
          <w:b/>
        </w:rPr>
        <w:t xml:space="preserve">Quelle: </w:t>
      </w:r>
      <w:r>
        <w:t>https://mcp.opencaselaw.ch/entscheid/vd_findinfo_ML___2014___186</w:t>
      </w:r>
    </w:p>
    <w:p>
      <w:r>
        <w:t>FR: VD_FINDINFO ML / 2014 / 186 du 16 juillet 2014</w:t>
      </w:r>
    </w:p>
    <w:p>
      <w:r>
        <w:t>IT: VD_FINDINFO ML / 2014 / 186 del 16 luglio 2014</w:t>
      </w:r>
    </w:p>
    <w:p>
      <w:pPr>
        <w:pStyle w:val="Heading2"/>
      </w:pPr>
      <w:r>
        <w:t>Regeste</w:t>
      </w:r>
    </w:p>
    <w:p>
      <w:r>
        <w:t>COMMANDEMENT DE PAYER, DÉCISION DE TAXATION, FORME ORALE, OPPOSITION{LP}, MAINLEVÉE DÉFINITIVE | 74 al. 1 LP, 80 al. 2 ch. 2 LP, 322 al. 1 CPC (CH)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août 2013, que tout porte à croire qu’il y a formé opposition totale au moment de cette notification – ce dont le fonctionnaire qui y a procédé a donné acte par sa signature –, conformément à l’art. 74 al. 1 LP, qui prévoit la possibilité pour le débiteur poursuivi de former opposition verbalement en faisant la déclaration immédiate à celui qui lui remet le commandement de payer, que ni les arguments qu’il avance, ni les pièces qu’il a produites en première instance – qui concernent la saisie de salaire dont il semble faire l’objet – ne permettent de retenir l’un des moyens libératoires énumérés à l’art. 81 al. 1 LP, que dans ces conditions, c'est à bon droit que le premier juge a admis la requête du poursuivant et prononcé la mainlevée, que le recours, manifestement infondé au sens de l'art. 322 al. 1 CPC, doit être rejeté; considérant que les frais de deuxième instance, arrêtés à 450 fr., doivent être mis à la charge du recourant, qui succombe.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