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ML / 2014 / 182 vom 16. Juli 2014</w:t>
      </w:r>
    </w:p>
    <w:p>
      <w:r>
        <w:t>VD Tribunal cantonal, 2014-07-16, FR</w:t>
      </w:r>
    </w:p>
    <w:p>
      <w:r>
        <w:rPr>
          <w:b/>
        </w:rPr>
        <w:t xml:space="preserve">Quelle: </w:t>
      </w:r>
      <w:r>
        <w:t>https://mcp.opencaselaw.ch/entscheid/vd_findinfo_ML___2014___182</w:t>
      </w:r>
    </w:p>
    <w:p>
      <w:r>
        <w:t>FR: VD_FINDINFO ML / 2014 / 182 du 16 juillet 2014</w:t>
      </w:r>
    </w:p>
    <w:p>
      <w:r>
        <w:t>IT: VD_FINDINFO ML / 2014 / 182 del 16 luglio 2014</w:t>
      </w:r>
    </w:p>
    <w:p>
      <w:pPr>
        <w:pStyle w:val="Heading2"/>
      </w:pPr>
      <w:r>
        <w:t>Regeste</w:t>
      </w:r>
    </w:p>
    <w:p>
      <w:r>
        <w:t>MAINLEVÉE DÉFINITIVE, DÉCISION DE TAXATION, OPPOSITION{LP}, FORME ORALE, COMMANDEMENT DE PAYER | 74 al. 1 LP, 80 al. 2 ch. 2 LP, 322 al. 1 CPC (CH)</w:t>
      </w:r>
    </w:p>
    <w:p>
      <w:pPr>
        <w:pStyle w:val="Heading2"/>
      </w:pPr>
      <w:r>
        <w:t>Erwägungen</w:t>
      </w:r>
    </w:p>
    <w:p>
      <w:r>
        <w:rPr>
          <w:b/>
        </w:rPr>
        <w:t>E. 29</w:t>
      </w:r>
    </w:p>
    <w:p>
      <w:r>
        <w:t>août 2013, que tout porte à croire qu’il y a formé opposition totale au moment de cette notification – ce dont le fonctionnaire qui y a procédé a donné acte par sa signature –, conformément à l’art. 74 al. 1 LP, qui prévoit la possibilité pour le débiteur poursuivi de former opposition verbalement en faisant la déclaration immédiate à celui qui lui remet le commandement de payer, que ni les arguments qu’il avance, ni les pièces qu’il a produites en première instance – qui concernent la saisie de salaire dont il semble faire l’objet – ne permettent de retenir l’un des moyens libératoires énumérés à l’art. 81 al. 1 LP, que dans ces conditions, c'est à bon droit que le premier juge a admis la requête de la poursuivante et prononcé la mainlevée, que le recours, manifestement infondé au sens de l'art. 322 al. 1 CPC, doit être rejeté; considérant que les frais de deuxième instance, arrêtés à 180 fr., doivent être mis à la charge du recourant, qui succombe.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