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180 vom 29. Juli 2014</w:t>
      </w:r>
    </w:p>
    <w:p>
      <w:r>
        <w:t>VD Tribunal cantonal, 2014-07-29, FR</w:t>
      </w:r>
    </w:p>
    <w:p>
      <w:r>
        <w:rPr>
          <w:b/>
        </w:rPr>
        <w:t xml:space="preserve">Quelle: </w:t>
      </w:r>
      <w:r>
        <w:t>https://mcp.opencaselaw.ch/entscheid/vd_findinfo_ML___2014___180</w:t>
      </w:r>
    </w:p>
    <w:p>
      <w:r>
        <w:t>FR: VD_FINDINFO ML / 2014 / 180 du 29 juillet 2014</w:t>
      </w:r>
    </w:p>
    <w:p>
      <w:r>
        <w:t>IT: VD_FINDINFO ML / 2014 / 180 del 29 luglio 2014</w:t>
      </w:r>
    </w:p>
    <w:p>
      <w:pPr>
        <w:pStyle w:val="Heading2"/>
      </w:pPr>
      <w:r>
        <w:t>Regeste</w:t>
      </w:r>
    </w:p>
    <w:p>
      <w:r>
        <w:t>MAINLEVÉE DÉFINITIVE, TITRE DE MAINLEVÉE, NOTIFICATION IRRÉGULIÈRE, ADRESSE | 65 al. 1 LP, 80 LP</w:t>
      </w:r>
    </w:p>
    <w:p>
      <w:pPr>
        <w:pStyle w:val="Heading2"/>
      </w:pPr>
      <w:r>
        <w:t>Erwägungen</w:t>
      </w:r>
    </w:p>
    <w:p>
      <w:r>
        <w:rPr>
          <w:b/>
        </w:rPr>
        <w:t>E. 2</w:t>
      </w:r>
    </w:p>
    <w:p>
      <w:r>
        <w:t>septembre 2013 l'informant du dépôt de la requête et l'invitant à se déterminer ou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 III. Selon l'art. 80 al. 1 LP,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LIC (loi du 5 décembre 1956 sur les impôts communaux; RSV 650.11) et LI (loi du 4 juillet 2000 sur les impôts directs cantonaux; RSV 642.11), qui sont entrés en force, produisent les mêmes effets qu'un jugement exécutoire (art. 40 LIC et 229 LI). En l'espèce, l'intimé a produit, avec sa requête de mainlevée une décision de taxation du 15 janvier 2011 ainsi qu'un décompte final complémentaire du 29 janvier 2011 munis des voies de droit et de mentions, signées du responsable contentieux, attestant de leur caractère définitif. Ces documents valent donc titres de mainlevée définitive pour les montants réclamés en poursuite ainsi que pour l'intérêt moratoire (art. 223 LI).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315 fr., sont mis à la charge de la recourante qui succombe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