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178 vom 10. Juli 2014</w:t>
      </w:r>
    </w:p>
    <w:p>
      <w:r>
        <w:t>VD Tribunal cantonal, 2014-07-10, FR</w:t>
      </w:r>
    </w:p>
    <w:p>
      <w:r>
        <w:rPr>
          <w:b/>
        </w:rPr>
        <w:t xml:space="preserve">Quelle: </w:t>
      </w:r>
      <w:r>
        <w:t>https://mcp.opencaselaw.ch/entscheid/vd_findinfo_ML___2014___178</w:t>
      </w:r>
    </w:p>
    <w:p>
      <w:r>
        <w:t>FR: VD_FINDINFO ML / 2014 / 178 du 10 juillet 2014</w:t>
      </w:r>
    </w:p>
    <w:p>
      <w:r>
        <w:t>IT: VD_FINDINFO ML / 2014 / 178 del 10 luglio 2014</w:t>
      </w:r>
    </w:p>
    <w:p>
      <w:pPr>
        <w:pStyle w:val="Heading2"/>
      </w:pPr>
      <w:r>
        <w:t>Regeste</w:t>
      </w:r>
    </w:p>
    <w:p>
      <w:r>
        <w:t>RECONNAISSANCE DE DETTE, SIGNATURE, REPRÉSENTANT, HONORAIRES, AVOCAT | 82 LP, 105 al. 2 CPC (CH), 106 al. 1 CPC (CH), 95 al. 3 let. b CPC (CH), 20 al. 2 TDC, 6 TDC</w:t>
      </w:r>
    </w:p>
    <w:p>
      <w:pPr>
        <w:pStyle w:val="Heading2"/>
      </w:pPr>
      <w:r>
        <w:t>Erwägungen</w:t>
      </w:r>
    </w:p>
    <w:p>
      <w:r>
        <w:rPr>
          <w:b/>
        </w:rPr>
        <w:t>E. 15</w:t>
      </w:r>
    </w:p>
    <w:p>
      <w:r>
        <w:t>octobre 2013. Enfin, il ne ressort pas de la réponse de l’intimée que celle-ci admet que la signature en cause émane d’un représentant autorisé de N.________ SA, en particulier de son administrateur unique H.________. Dans ses déterminations, l’intimée conteste l’interprétation faite par la recourante du « contrat » du 27 novembre 2011, et en particulier que N.________ SA ait été chargée de la direction des travaux, mais ne se prononce pas sur la portée des adjonctions manuscrites litigieuses. Tout au plus envisage-t-elle l’éventualité d’une représentation, mais comme une éventualité seule-ment, et pour conclure qu’elle ne la lierait pas. Ainsi, les factures invoquées par la poursuivante ne constituent pas des titres de mainlevée. Au surplus, on constate que le montant de 81'050 fr. 55 réclamé en poursuite ne correspond ni au total des factures, ni au montant du solde du récapitulatif du 15 octobre 2013 (111'393 fr. 55). Seule l’annotation manuscrite figurant sur cette pièce – lisible uniquement sur la version produite par la poursuivie – mentionne lesdits 81'055 fr. 55. Toutefois, comme on l’a vu, il n’est pas possible de déduire des pièces au dossier que c’est la poursuivie, ou son représentant, qui a indiqué ce montant. On peut encore relever que l’acte du 27 septembre 2011, même s’il avait été invoqué comme titre de mainlevée, ce qui n’est pas le cas, ne sauraient pas non plus constituer une reconnaissance de dette, faute d’être signé par la poursuivie ou un représentant. c) Dans ces conditions, c’est à juste titre que le premier juge a rejeté la requête de mainlevée. III. a) A titre subsidiaire, la recourante conteste le montant des dépens, par 2'000 fr., mis à sa charge. Elle relève que le premier juge l’ayant également astreinte à payer la même somme dans le cadre de la poursuite, identique, qu’elle a introduite pour les mêmes faits contre l’époux de A.V.________, représenté par le même conseil, les dépens alloués aux époux poursuivis se montent à 4'000 fr. pour la présente cause, ce qu’elle estime excessif au vu des opérations accomplies par leur conseil. Partant, elle demande que les dépens de première instance soient réduits à 500 francs. b) Les frais comprennent les frais judiciaires et les dépens (art. 95 al. 1 CPC). Les dépens comprennent notamment le défraiement d’un représentant professionnel (art. 95 al. 3 lit. b CPC). Sont essentiellement visés par cette disposition les frais d’avocat mais aussi les honoraires dus à un autre représentant professionnel au sens de l’art. 68 CPC (Tappy, Code de procédure civile commenté, n. 26 ad art. 68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références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 er janvier 2011 (TDC, RSV 270.11.6).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TDC). L’art. 19 al. 1 TDC stipule en outre que les dépens comprennent également les débours nécessaires, qui incluent notamment les frais de déplacement, de téléphone, de port et de copie. Ils sont estimés, sauf élément contraire, à 5 % du défraiement du représentant professionnel et s’ajoutent à celui-ci (art. 19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Il convient en outre de déduire de l'emploi de l'adjectif "manifeste" que l'on doit en principe s'en tenir aux barèmes fixés et que l'on ne peut s'en écarter, dans l'hypothèse envisagée à l'art. 20 al. 2 TDC, que si la disproportion est évidente (CPF, 10 juin 2014/208; CPF, 6 février 2014/49; CPF, 10 septembre 2013/350). c) En l’espèce, la poursuivie était valablement représentée par un avocat en première instance. Elle a par ailleurs obtenu gain de cause sur le principe et l’entier de ses conclusions de sorte que l’on peut considérer que la poursuivante a entièrement succombé. La valeur litigieuse s’élevait à 81'055 fr. 55. Conformément à l’art. 6 TDC, la poursuivie pouvait donc prétendre à un défraiement compris entre 1'500 et 6'000 francs. Il faut constater que le montant de 2'000 fr. alloué par le premier juge se situe à l’intérieur de la fourchette prévue par l’art. 6 TDC. Il correspond à l’équivalent d’environ 5 heures 30 de travail facturées à 350 fr. (voir rapport explicatif sur le nouveau tarif des dépens en matière civile, p. 6) augmenté de 5 % pour tenir compte des débours nécessaires. En première instance, la poursuivie n’a pas déposé d’écriture ni de pièce. Elle admet qu’à l’audience de mainlevée, elle a été représentée par l’avocate-stagiaire de son conseil, et non par celui-ci. A défaut de procès-verbal de cette audience et de détermination de l’intimé à cet égard, il faut admettre que l’audience de mainlevée a duré vingt minutes, comme l’allègue la poursuivante, cette durée étant au demeurant usuelle. L’existence d’une procédure parallèle menée par le même avocat sur la base d’un état de fait identique ressort du dossier parent, relatif à B.V.________. La recourante a introduit à la même date une poursuite en tous points identique (montant, intérêts, titre et cause de l’obligation) à l’encontre de l’époux de l’intimée. Ce dernier ayant formé opposition à cette poursuite, la recourante a déposé contre lui une requête de mainlevée, de deux pages, également identique à celle déposée à l’encontre de l’intimée, sous réserve du numéro de la poursuite; elle a en outre déposé les mêmes treize pièces à l’appui de cette requête, y compris la procuration, sous réserve du commandement de payer. La décision qui a été rendue dans cette autre affaire est également identique à la décision présentement attaquée. Dans ces circonstances, le travail du conseil de l’intimée a consisté, dans les deux dossiers, à prendre connaissance de deux écritures similaires simples – et non à les élaborer – , à analyser juridiquement les deux dossiers et à assister – par sa stagiaire – ses clients à l’unique audience de mainlevée qui s’est tenue dans les deux dossiers. L’intimée prétend que le montant de 4'000 fr. est justifié, mais il ne fournit pas une liste de ses opérations permettant de s’en convaincre. Si la valeur litigieuse est relativement élevée, les problèmes juridiques soulevés ne revêtent pas de difficulté particulière. Dans ces conditions, un montant total de 4'000 fr. pour les deux dossiers, correspondant à presque 11 heures de travail, apparaît manifeste-ment disproportionné. Il en irait de même si on appliquait le minimum de la fourchette prévu à l’art. 6 TDC, de 1'500 fr., ce qui correspondrait à un peu plus de quatre heures de travail par dossier, soit plus de huit heures en tout. Il s’agit donc de s’écarter des barèmes, en application de l’art. 20 al. 2 TDC. Compte tenu de ces éléments, il convient de considérer que le conseil de l’intimée a tout au plus passé deux heures sur les deux dossiers (réception des clients et prise de connaissance des deux poursuites et des requêtes de mainlevée) et que sa stagiaire y a consacré une heure (préparation et vacation à l’audience de mainlevée à Morges), ce qui justifie un défraiement total de 1'000 fr., soit 500 fr. par dossier. Le recours est dès lors bien fondé sur ce point accessoire. IV. En définitive, le recours doit être admis très partiellement et le chiffre IV du prononcé réformé en ce sens que la poursuivante paiera à la poursuivie la somme de 500 fr. à titre de défraiement de son représentant professionnel. Les frais de deuxième instance sont arrêtés à 750 francs. D’après l’art. 8 TDC, pour une valeur litigieuse entre 30'001 fr. et 100'000 fr. (en l’espèce 81'050 fr. 55), le défraiement est fixé entre 1’000 fr. et 5’000 francs. Le travail accompli par le conseil de l’intimée dans la procédure de recours, soit le dépôt d’une réponse de quatre pages, justifie un défraiement de 1’100 francs. La recourante ayant succombé sur le principal et gagné sur l’accessoire, il convient de réduire d’un dixième les dépens mis à sa charge. Les frais de 750 fr. doivent ainsi être répartis à raison de 675 fr. pour la recourante, et de 75 fr. pour l’intimée (art. 106 al. 2 CPC) et les dépens dus à titre de défraiement de l’avocat diminués de 110 fr., donc fixés à 990 francs. La recourante A.________ SA doit ainsi verser à l’intimée A.V.________ la somme de 915 fr. à titre de dépens réduits de deuxième instance (soit 990 fr. de défraiement, moins 75 fr. dus par l’intimée à titre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