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170 vom 30. Mai 2014</w:t>
      </w:r>
    </w:p>
    <w:p>
      <w:r>
        <w:t>VD Tribunal cantonal, 2014-05-30, FR</w:t>
      </w:r>
    </w:p>
    <w:p>
      <w:r>
        <w:rPr>
          <w:b/>
        </w:rPr>
        <w:t xml:space="preserve">Quelle: </w:t>
      </w:r>
      <w:r>
        <w:t>https://mcp.opencaselaw.ch/entscheid/vd_findinfo_ML___2014___170</w:t>
      </w:r>
    </w:p>
    <w:p>
      <w:r>
        <w:t>FR: VD_FINDINFO ML / 2014 / 170 du 30 mai 2014</w:t>
      </w:r>
    </w:p>
    <w:p>
      <w:r>
        <w:t>IT: VD_FINDINFO ML / 2014 / 170 del 30 maggio 2014</w:t>
      </w:r>
    </w:p>
    <w:p>
      <w:pPr>
        <w:pStyle w:val="Heading2"/>
      </w:pPr>
      <w:r>
        <w:t>Regeste</w:t>
      </w:r>
    </w:p>
    <w:p>
      <w:r>
        <w:t>MAINLEVÉE DÉFINITIVE, RETRAIT{VOIE DE DROIT}, DÉPENS, DISPROPORTION | 80 LP, 104 al. 1 CPC (CH), 105 al. 2 CPC (CH), 106 al. 1 CPC (CH), 107 al. 1 let. e CPC (CH), 109 CPC (CH), 238 let. f CPC (CH), 239 al. 2 CPC (CH), 241 CPC (CH), 242 CPC (CH), 254 al. 1 CPC, 321 al. 2 CPC (CH), 95 al. 1 CPC (CH), 20 al. 2 TDC, 6 TDC</w:t>
      </w:r>
    </w:p>
    <w:p>
      <w:pPr>
        <w:pStyle w:val="Heading2"/>
      </w:pPr>
      <w:r>
        <w:t>Erwägungen</w:t>
      </w:r>
    </w:p>
    <w:p>
      <w:r>
        <w:rPr>
          <w:b/>
        </w:rPr>
        <w:t>E. 1</w:t>
      </w:r>
    </w:p>
    <w:p>
      <w:r>
        <w:t>CPC). Les frais comprennent les frais judiciaires et les dépens (art. 95 al. 1 CPC). En vertu de l’art.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dans les cas énumérés à l’art. 107 al. 1 CPC, notamment lorsque la procédure est devenue sans objet et que la loi n’en dispose pas autrement (let. e).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(art. 241 CPC). Le procès peut devenir sans objet pour un autre motif, par exemple en cas de disparition de l’objet du procès (art. 242 CPC; Tappy, op. cit., nn. 4 et 5 ad art. 242). Lorsque, dans le cas d’un procès devenant sans objet, une disposition particulière règle spécialement la répartition des frais, c’est cette disposition qui s’applique (Tappy, op. cit., n. 23 ad art. 107). A cet égard, le titre marginal de l’art. 242 CPC (« Procédure devenue sans objet pour d’autres raisons ») tend à faire des litiges terminés par une transaction, un acquiescement ou un désistement d’action (art. 241 CPC) des cas particuliers de procès devenant sans objet. Dans ces trois cas, les art. 106 al. 1 1 ère ou 3 ème phrase et 109 consacrent des règles particulières. L’art. 107 al. 1 let. e ne leur est donc pas applicable (Tappy, op. cit., n. 26 ad art. 107). b) Contrairement à ce que paraît soutenir la recourante, une partie gagne son procès ou le perd au moment où le jugement est rendu et non au moment où elle dépose sa demande ou sa requête. Le tribunal statue sur la base des preuves régulièrement offertes et administrées jusqu’à la clôture de l’instruction. Dans le cas d’une procédure sommaire, applicable aux décisions rendues en matière de mainlevée d’opposition (art. 251 let. a CPC), il statue avec ou sans audience (art. 253 et 256 al. 1 CPC). En principe, la preuve est rapportée par titres (art. 254 al. 1 CPC). Des pièces peuvent être produites jusqu’à la fin de l’administration des preuves s’il est tenu une ou plusieurs audiences. S’il ne tient pas d’audience, le juge doit fixer un délai aux parties pour le dépôt de leurs moyens de preuve, en précisant qu’il sera statué sans audience de jugement (Bohnet, CPC commenté, n. 9 ad art. 252). L’écriture et la pièce déposées par le conseil de l’intimé le 19 septembre 2013, dans le délai de détermination fixé au 30 septembre 2013 par le juge de paix, étaient donc recevables. Au demeurant, l’arrêt du Tribunal fédéral, accessible sur son site internet, constituait un fait notoire. En l’espèce, le juge de la mainlevée n’a pas statué sur la requête de mainlevée. S’il n’a pas statué, ce n’est pas en raison de l’arrêt du Tribunal fédéral du 17 septembre 2013, lequel n’a pas fait perdre son objet à la procédure de mainlevée, mais en raison du retrait de la requête de mainlevée par la recourante, dont il a pris acte dans son prononcé. Si la recourante n’avait pas retiré sa requête, le juge de paix l’aurait rejetée, en se fondant sur l’arrêt du Tribunal fédéral rendu dans l’intervalle. Il aurait alors alloué des dépens à l’intimé, qui aurait obtenu gain de cause. Le retrait de la requête constitue un désistement au sens des art. 106 al. 1 et 241 CPC , respectivement un acquiescement aux conclusions libératoires de l’intimé. C’est dès lors à bon droit que le premier juge a alloué des dépens à l’intimé, en application de l’art. 106 al. 1 CPC . IV. La recourante conteste le montant des dépens alloués en première instance à l’intimé, arrêtés à 3'000 francs. Elle soutient que le premier juge aurait dû s’écarter des montants prévus à l’art. 6 TDC (Tarif des dépens en matière civile du 23 novembre 2010; RSV 270.11.6), en application de l’art. 20 al. 2 TDC, dans la mesure où la procédure de mainlevée n’aurait donné lieu qu’à un travail réduit de l’avocat de l’intimé, qui connaissait le dossier pour être intervenu dans le cadre du procès au fond et qui a procédé simultanément en mainlevée dans le cadre de deux procédures parallèles, dirigée chacune contre l’un des époux R.________. Elle considère dès lors que les dépens de première instance devraient être réduits à 500 fr. en tout et pour tout. a) Les dépens comprennent les débours nécessaires et le défraiement d’un représentant professionnel, dans les cas où la partie victorieuse a fait appel à un mandataire professionnel (art. 95 al. 3 CPC).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c. 4; TF 4A_349/2011 du 5 octobre 2011 c. 4; TF 4A_472/2010 du 26 novembre 2010 c. 5), le second étant réalisé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 manifeste » que l’on doit en principe s’en tenir aux barèmes fixés et que l’on ne peut s’en écarter, dans l’hypothèse envisagée à l’art. 20 al. 2 TDC, que si la disproportion est évidente. b) En l’occurrence, l’intimé poursuivi était valablement représenté par un avocat en première instance. La recourante est la partie succombante et doit de pleins dépens à l’intimé. La valeur litigieuse s’élevait à 104'959 fr. 50. Conformément à l’art. 6 TDC, l’intimé pouvait donc prétendre en première instance à un défraiement compris entre 3'000 et 8'000 francs. Les déterminations déposées par l’intimé le 4 septembre 2013 comportent cinq pages. Elles contiennent des conclusions, une présentation des faits ainsi qu’une argumentation juridique. L’acte était en outre accompagné d’un bordereau de six pièces. On ne saurait donc considérer qu’il s’agit d’une écriture « extrêmement succincte » telle que celle envisagée par la jurisprudence pour justifier une réduction des dépens. Le conseil de l’intimé a encore adressé le 19 septembre 2013 au juge de première instance une lettre de deux pages contenant un développement juridique relatif à l’arrêt du Tribunal fédéral produit en annexe. On ne saurait non plus considérer qu’il s’agissait d’une écriture « extrêmement succincte » au sens dégagé par la jurisprudence. L’existence d’une procédure parallèle menée par le même avocat sur la base d’un état de fait identique contre le codébiteur est établie. Elle était connue en première instance, puisque le même juge a traité les deux procédures simultanément. La seconde hypothèse envisagée par le Tribunal fédéral pour justifier une réduction des dépens est donc réalisée. Compte tenu de la procédure parallèle contre l’épouse de l’intimé, codébitrice, il convient, en application de l’art. 20 al. 2 TDC, de fixer des dépens inférieurs au taux minimum prévu par le tarif. Le montant de 3'000 fr. alloué par le premier juge se situe au minimum de la fourchette pour une valeur litigieuse qui est elle-même au bas de la fourchette. Il correspond à un peu plus de huit heures de travail facturées à 350 fr. (voir rapport explicatif sur le nouveau tarif des dépens en matière civile, p. 6) augmenté de 5 % pour tenir compte des débours nécessaires. Compte tenu des écritures déposées, de l’importance de la cause, de ses difficultés, du fait qu’il n’y a pas eu d’audience, ce montant était justifié. Toutefois, compte tenu de l’existence d’une procédure parallèle, il convient de réduire ce montant à 1'800 francs. V. En définitive, le recours est donc partiellement admis. Les frais judiciaires de deuxième instance, arrêtés à 315 fr., sont mis par 210 fr. à la charge de la recourante, qui obtient partiellement gain de cause sur sa conclusion plus subsidiaire, et par 105 fr. à la charge de l’intimé. Celui-ci doit verser à la recourante la somme de 255 fr., soit 150 fr. à titre de défraiement du conseil de cette dernière (art. 8 TDC), réduit de deux tiers, et 105 fr. à titre de remboursement du tiers des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