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164 vom 4. Juli 2014</w:t>
      </w:r>
    </w:p>
    <w:p>
      <w:r>
        <w:t>VD Tribunal cantonal, 2014-07-04, FR</w:t>
      </w:r>
    </w:p>
    <w:p>
      <w:r>
        <w:rPr>
          <w:b/>
        </w:rPr>
        <w:t xml:space="preserve">Quelle: </w:t>
      </w:r>
      <w:r>
        <w:t>https://mcp.opencaselaw.ch/entscheid/vd_findinfo_ML___2014___164</w:t>
      </w:r>
    </w:p>
    <w:p>
      <w:r>
        <w:t>FR: VD_FINDINFO ML / 2014 / 164 du 4 juillet 2014</w:t>
      </w:r>
    </w:p>
    <w:p>
      <w:r>
        <w:t>IT: VD_FINDINFO ML / 2014 / 164 del 4 luglio 2014</w:t>
      </w:r>
    </w:p>
    <w:p>
      <w:pPr>
        <w:pStyle w:val="Heading2"/>
      </w:pPr>
      <w:r>
        <w:t>Regeste</w:t>
      </w:r>
    </w:p>
    <w:p>
      <w:r>
        <w:t>MAINLEVÉE DÉFINITIVE, TITRE DE MAINLEVÉE, CHOSE JUGÉE, NOTIFICATION IRRÉGULIÈRE | 80 al. 2 ch. 2 LP, 80 LP</w:t>
      </w:r>
    </w:p>
    <w:p>
      <w:pPr>
        <w:pStyle w:val="Heading2"/>
      </w:pPr>
      <w:r>
        <w:t>Erwägungen</w:t>
      </w:r>
    </w:p>
    <w:p>
      <w:r>
        <w:rPr>
          <w:b/>
        </w:rPr>
        <w:t>E. 19</w:t>
      </w:r>
    </w:p>
    <w:p>
      <w:r>
        <w:t>décembre 2008; RS 272). Ecrit et motivé, il est recevable à la forme (art. 321 al. 1 CPC). II.               a) Le recourant fait valoir que l’intimée n’a pas apporté la preuve de la notification de sa décision de taxation. b) Selon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 Staehelin, Kommentar zum Bundesgesetz über Schuldbetreibung und Konkurs, n. 120 ad art. 80 LP; Panchaud/Caprez, La mainlevée d’opposition, § 122).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365-366). Il appartient à l’autorité qui invoque une décision administrative à l’appui d’une requête de mainlevée définitive de prouver que la décision a été notifiée et qu’elle est entrée en force, faute d’avoir été contestée en temps utile (ATF 105 III 43, JT 1980 II 117). La cour de céans a tranché, dans une composition de cinq juges, la question de principe de la preuve de la notification (CPF, 11 novembre 2010/431, rés. in JT 2011 III 58);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Ainsi, la cour de céans a admis que, lorsque le poursuivi n’invoque pas ce moyen devant le premier juge alors que la décision invoquée mentionne expressément qu’elle est entrée en force et est exécutoire, le poursuivi admet implicitement l’avoir reçue (CPF, 15 août 2013/321; CPF, 5 juillet 2013/276; CPF, 25 novembre 2010/462 confirmé dans l’arrêt TF 5A_339/2011 c. 3). c) En l’espèce, le recourant a soulevé devant le premier juge le moyen tiré de l’absence de notification valable de la décision de taxation fondant la poursuite. Il est vrai qu’il n’évoque pas expressément la question du décompte final, établi le même jour que la décision de taxation, mais on peut supposer que dans son esprit, ces deux documents ne font qu’un. Il faut comprendre qu’il conteste avoir été informé devoir l’impôt en question, puisqu’il se plaint de n’avoir pas eu l’occasion de faire recours. Or, l’intimée n’a apporté aucune preuve de la notification de la décision de taxation, du décompte final, ou même du rappel, apparemment tous envoyés par courrier simple, à leur destinataire. Partant, on ne peut pas considérer comme établi que la décision de taxation ou le décompte final, pouvant remplir dans leur forme les conditions d’un titre à la mainlevée définitive, ont été notifiés en novembre 2012 au recourant. Il est vrai que ce dernier reconnaît avoir eu connaissance de la décision de taxation en avril 2013. Il indique cependant avoir recouru contre cette décision et l’établit. On ignore si l’intimée a traité ce recours. Dans ces conditions, cette dernière ne dispose d’aucun titre à la mainlevée définitive. III . Au vu de ce qui précède, le recours doit être admis et le prononcé réformé en ce sens que la requête de mainlevée définitive est rejetée et que les frais judiciaires de première instance, arrêtés à 90 fr., sont mis à la charge de la poursuivante, qui en a déjà fait l'avance. Les frais judiciaires de deuxième instance, arrêtés à 135 fr., doivent être mis à la charge de l’intimée. Il n'est pas alloué de dépens de première ni de deuxième instance, le poursuivi et recourant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