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127 vom 28. Mai 2014</w:t>
      </w:r>
    </w:p>
    <w:p>
      <w:r>
        <w:t>VD Tribunal cantonal, 2014-05-28, FR</w:t>
      </w:r>
    </w:p>
    <w:p>
      <w:r>
        <w:rPr>
          <w:b/>
        </w:rPr>
        <w:t xml:space="preserve">Quelle: </w:t>
      </w:r>
      <w:r>
        <w:t>https://mcp.opencaselaw.ch/entscheid/vd_findinfo_ML___2014___127</w:t>
      </w:r>
    </w:p>
    <w:p>
      <w:r>
        <w:t>FR: VD_FINDINFO ML / 2014 / 127 du 28 mai 2014</w:t>
      </w:r>
    </w:p>
    <w:p>
      <w:r>
        <w:t>IT: VD_FINDINFO ML / 2014 / 127 del 28 maggio 2014</w:t>
      </w:r>
    </w:p>
    <w:p>
      <w:pPr>
        <w:pStyle w:val="Heading2"/>
      </w:pPr>
      <w:r>
        <w:t>Regeste</w:t>
      </w:r>
    </w:p>
    <w:p>
      <w:r>
        <w:t>MOTIF DU RECOURS, CONDITION DE RECEVABILITÉ | 239 al. 2 CPC (CH), 321 al. 1 CPC (CH)</w:t>
      </w:r>
    </w:p>
    <w:p>
      <w:pPr>
        <w:pStyle w:val="Heading2"/>
      </w:pPr>
      <w:r>
        <w:t>Volltext</w:t>
      </w:r>
    </w:p>
    <w:p>
      <w:r>
        <w:t>Vaud Tribunal cantonal Cour des poursuites et faillites 28.05.2014 ML / 2014 / 127</w:t>
      </w:r>
    </w:p>
    <w:p>
      <w:r>
        <w:t>MOTIF DU RECOURS, CONDITION DE RECEVABILITÉ | 239 al. 2 CPC (CH), 321 al. 1 CPC (CH)</w:t>
      </w:r>
    </w:p>
    <w:p>
      <w:r>
        <w:t>TRIBUNAL CANTONAL KC14.003933-140743 199 Cour des poursuites et faillites ________________________________________________ Arrêt du 28 mai 2014 __________________ Présidence de               M. Sauterel , président Juges :              Mmes Byrde et Rouleau Greffier : Mme              Debétaz Ponnaz ***** Art. 239 al. 2 et 321 al. 1 CPC Vu le prononcé rendu le 13 mars 2014, à la suite de l'audience du 11 mars 2014, par le Juge de paix du district de La Riviera – Pays-d'Enhaut, rejetant la requête de mainlevée d'opposition déposée par D.________ , à Gstaad, dans la poursuite n° 6'830'344 de l'Office des poursuites du district de La Riviera – Pays-d'Enhaut exercée à son instance contre T.________ , à Veytaux, arrêtant à 360 fr. les frais judiciaires de première instance, compensés avec l'avance de frais du poursuivant, les mettant à la charge de ce dernier et disant qu'il verserait à la poursuivie la somme de 1'000 fr. à titre de dépens, en défraiement de son représentant professionnel, vu la lettre du poursuivant au juge de paix du 19 mars 2014, accompagnant des pièces nouvelles produites à l'appui de sa requête, vu la lettre du 20 mars 2014 par laquelle le juge de paix a informé le  poursuivant qu'il ne lui était pas possible de prendre en considération de nouveaux éléments et l'a invité à lui indiquer si son écriture devait être considérée comme un recours, vu la réponse du poursuivant du 26 mars 2014, déclarant recourir contre le prononcé du 13 mars 2014, vu les motifs du prononcé adressés pour notification aux parties le 10 avril 2014, vu la déclaration de recours déposée par le poursuivant le 16 avril 2014, concluant – implicitement – à la mainlevée de l'opposition à la poursuite en cause;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doit être également appliqué dans la procédure de recours régie par le CPC (Tappy, Les voies de droit du nouveau Code de procédure civile, in JT 2010 III 115, spéc. p. 131), que la lettre adressée le 19 mars 2014 au Juge de paix du district de  La Riviera–Pays-d'Enhaut par D.________, qui a précisé ultérieurement qu'il s'agissait d'un recours, a ainsi été déposée en temps utile, que la déclaration de recours déposée le 16 avril 2014 a également été déposée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réformée et prendre des conclusions au fond tendant à l'annulation ou à la réforme de cette décision (CREC, 13 octobre 2011/187; Jeandin, op. cit., nn. 3 et 5 ad art. 31 CPC),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ni la lettre de D.________ du 19 mars 2014 ni sa déclaration de recours du 16 avril 2014 – qui ne comprend qu'une conclusion implicite en mainlevée d'opposition – ne contiennent de grief, motif ou moyen de recours reconnaissable contre la décision rejetant la requête de mainlevée, que le recourant n'indique pas pour quel motif et en quoi la décision devrait être réformée ou annulée, que l'absence de motivation du recours est un vice qui n'est pas réparable,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l'espèce, le recours de D.________,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28 mai 2014 L'arrêt qui précède, dont la rédaction a été approuvée à huis clos, prend date de ce jour. Il est notifié, par l'envoi de photocopies, à : ‑ M. D.________, ‑ Me Jean-Pierre Moser, avocat (pour T.________). La Cour des poursuites et faillites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