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122 vom 12. Mai 2014</w:t>
      </w:r>
    </w:p>
    <w:p>
      <w:r>
        <w:t>VD Tribunal cantonal, 2014-05-12, FR</w:t>
      </w:r>
    </w:p>
    <w:p>
      <w:r>
        <w:rPr>
          <w:b/>
        </w:rPr>
        <w:t xml:space="preserve">Quelle: </w:t>
      </w:r>
      <w:r>
        <w:t>https://mcp.opencaselaw.ch/entscheid/vd_findinfo_ML___2014___122</w:t>
      </w:r>
    </w:p>
    <w:p>
      <w:r>
        <w:t>FR: VD_FINDINFO ML / 2014 / 122 du 12 mai 2014</w:t>
      </w:r>
    </w:p>
    <w:p>
      <w:r>
        <w:t>IT: VD_FINDINFO ML / 2014 / 122 del 12 maggio 2014</w:t>
      </w:r>
    </w:p>
    <w:p>
      <w:pPr>
        <w:pStyle w:val="Heading2"/>
      </w:pPr>
      <w:r>
        <w:t>Regeste</w:t>
      </w:r>
    </w:p>
    <w:p>
      <w:r>
        <w:t>MAINLEVÉE PROVISOIRE, TITRE DE MAINLEVÉE, RECONNAISSANCE DE DETTE, COMPENSATION DE CRÉANCES, RESPONSABILITÉ DES ORGANES D'UNE SOCIÉTÉ | 645 al. 1 CO, 82 al. 1 LP, 82 al. 2 LP</w:t>
      </w:r>
    </w:p>
    <w:p>
      <w:pPr>
        <w:pStyle w:val="Heading2"/>
      </w:pPr>
      <w:r>
        <w:t>Erwägungen</w:t>
      </w:r>
    </w:p>
    <w:p>
      <w:r>
        <w:rPr>
          <w:b/>
        </w:rPr>
        <w:t>E. 2</w:t>
      </w:r>
    </w:p>
    <w:p>
      <w:r>
        <w:t>CO. Le fait que l’intimé ait déclaré agir au nom de la société n’exclut donc pas un  engagement personnel de sa part. bb) L’attestation en question ne désigne toutefois pas nommément le créancier, précisant uniquement que la somme sera remboursable à son porteur. La question se pose de savoir si une telle formulation est suffisante pour identifier le créancier et, partant, le poursuivant. Elle peut toutefois rester ouverte pour les motifs suivants. cc) Le recourant a également produit une pièce datée du 7 août 2012, intitulée "convention et modalités de reconnaissance de dette". Ce document porte en tête le nom recourant et au pied, sa signature; le texte fait référence au prêt de 8'000 fr. et à la lettre du 7 juin 2012 dans laquelle le recourant, se présentant comme créancier, a imparti à l’intimé un délai au 30 septembre 2012 pour lui rembourser l’intégralité de la somme empruntée, frais et intérêts en sus; il rappelle en outre l’engagement financier personnel et irrévocable de l’intimé en lien avec le capital dû, les intérêts négatifs et frais courus; il mentionne par ailleurs la date du 1 er février 2012, qui figurait dans l’attestation du 29 décembre 2011 comme échéance de remboursement, et un report exceptionnel de cette échéance, sans prolongation possible, au 30 septembre 2012; enfin, ce document a également été signé par l’intimé sous la rubrique "lu, vu et accepté sans modification". Il ressort ainsi clairement de ce document, rapproché de l'attestation signée le 29 décembre 2011, que l’intimé s’est personnellement engagé à rembourser au recourant la somme de 8'000 fr. dans un délai finalement reporté au 30 septembre 2012. Le recourant est donc au bénéfice d'une reconnaissance de dette et dispose par conséquent d’un titre de mainlevée provisoire. III. a) Conformément à l'art. 82 al. 2 LP, le poursuivi peut faire échec à la mainlevée provisoire en se prévalant de tous les moyens de droit civil - exceptions ou objections - qui infirment la reconnaissance de dette, notamment la compensation. Il incombe au poursuivi de rendre vraisemblable la créance compensante et le montant exact à concurrence duquel la dette serait éteinte. Le poursuivi ne peut pas se contenter d'alléguer l'existence d'une créance envers le poursuivant pour rendre vraisemblable cette prétention et opposer valablement l'objection de compensation; de simples affirmations ne sont pas suffisantes. Les preuves produites par le poursuivi doivent rendre vraisemblable le fait libératoire.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(TF 5A_83/2011 du 2 septembre 2011, c. 6.1 et les réf. cit.). b) En l’espèce, dans sa réponse au recours, l’intimé invoque en compensation deux créances de 5'550 fr. et 2'195 fr. 10. Dans la mesure où il n’a pas procédé en première instance, il n’a cependant produit aucun document susceptible de les rendre vraisemblables. Ce moyen est ainsi mal fondé. IV. Vu ce qui précède, le recours doit être admis dans la mesure de ses conclusions réduites, en ce sens que la mainlevée provisoire de l'opposition à la poursuite en cause est prononcée à concurrence de 6'000 fr., en capital, mais partiellement seulement sur la question de l'intérêt moratoire à 5 % l'an, qui ne doit être accordé que dès le 1 er octobre 2012, lendemain de l'ultime échéance de remboursement fixée au 30 septembre 2012. Vu le sort de la cause, les frais de première instance, arrêtés à 210 fr., doivent être répartis entre les parties (art. 106 al. 2 CPC), soit mis par 52 fr. 50 à la charge du poursuivant, qui en a déjà fait l'avance, et par 157 fr. 50 à la charge du poursuivi. Ce dernier doit par conséquent verser au poursuivant la somme de 157 francs 50 à titre de restitution partielle d'avance de frais de première instance. Il y a lieu de tenir compte de la réduction des conclusions du recours pour déterminer la valeur litigieuse en deuxième instance et arrêter les frais (cf. art. 4 al. 4 TFJC [tarif des frais judiciaires civils; RSV 270.11.5] par analogie). Les frais judiciaires de deuxième instance sont ainsi arrêtés à 360 francs. Vu le sort du recours, ils sont mis par 90 fr. à la charge du recourant et par 270 fr. à la charge de l'intimé. Ce dernier doit par conséquent verser au recourant la somme de 270 fr. à titre de restitution partielle d'avance de frais de deuxième instance. La différence de 45 fr. avec l'avance de frais versée par le recourant sera en outre remboursée à celui-ci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