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118 vom 16. Mai 2014</w:t>
      </w:r>
    </w:p>
    <w:p>
      <w:r>
        <w:t>VD Tribunal cantonal, 2014-05-16, FR</w:t>
      </w:r>
    </w:p>
    <w:p>
      <w:r>
        <w:rPr>
          <w:b/>
        </w:rPr>
        <w:t xml:space="preserve">Quelle: </w:t>
      </w:r>
      <w:r>
        <w:t>https://mcp.opencaselaw.ch/entscheid/vd_findinfo_ML___2014___118</w:t>
      </w:r>
    </w:p>
    <w:p>
      <w:r>
        <w:t>FR: VD_FINDINFO ML / 2014 / 118 du 16 mai 2014</w:t>
      </w:r>
    </w:p>
    <w:p>
      <w:r>
        <w:t>IT: VD_FINDINFO ML / 2014 / 118 del 16 maggio 2014</w:t>
      </w:r>
    </w:p>
    <w:p>
      <w:pPr>
        <w:pStyle w:val="Heading2"/>
      </w:pPr>
      <w:r>
        <w:t>Regeste</w:t>
      </w:r>
    </w:p>
    <w:p>
      <w:r>
        <w:t>MAINLEVÉE PROVISOIRE, TITRE DE MAINLEVÉE | 82 LP</w:t>
      </w:r>
    </w:p>
    <w:p>
      <w:pPr>
        <w:pStyle w:val="Heading2"/>
      </w:pPr>
      <w:r>
        <w:t>Volltext</w:t>
      </w:r>
    </w:p>
    <w:p>
      <w:r>
        <w:t>Vaud Tribunal cantonal Cour des poursuites et faillites 16.05.2014 ML / 2014 / 118</w:t>
      </w:r>
    </w:p>
    <w:p>
      <w:r>
        <w:t>MAINLEVÉE PROVISOIRE, TITRE DE MAINLEVÉE | 82 LP</w:t>
      </w:r>
    </w:p>
    <w:p>
      <w:r>
        <w:t>TRIBUNAL CANTONAL KC13.036784-140185 181 Cour des poursuites et faillites ________________________________________________ Arrêt du 16 mai 2014 __________________ Présidence de               M. Sauterel , président Juges :              MM. Hack et Maillard Greffier : Mme              van Ouwenaller ***** Art. 82 LP Vu le prononcé rendu le 8 octobre 2013, à la suite de l'audience du 1 er octobre 2013, par le Juge de paix du district de Lausanne, rejetant la requête de mainlevée déposée par K.________ , à Mont-sur-Lausanne, dans la poursuite n° 6'546'475 de l'Office des poursuites du district de Lausanne (ci-après: l'office) exercée à son instance à l'encontre de F.________ , à Lausanne, arrêtant à 210 fr. les frais judiciaires mis à la charge de la poursuivante et n'allouant pas de dépens, notifié le 17 octobre 2013 à la poursuivante, vu le recours adressé le 26 octobre 2013 par la poursuivante au premier juge, concluant implicitement à l'octroi de la mainlevée de l'opposition et demandant la motivation de la décision, vu les motifs adressés pour notification aux parties le 20 janvier 2014,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la poursuivante par lettre du 26 octobre 2013 adressée au Juge de paix du district de Lausanne, dans le délai de demande de motivation (art. 329 al. 2 CPC), a ainsi été déposé en temps utile et dans les formes requises de sorte qu'il est recevable; attendu qu'à l'appui de sa requête de mainlevée datée du 14 juin 2013 mais munie d'un tampon humide de l'office du 14 août 2013, la poursuivante a produit l'original du commandement de payer dans la poursuite n° 6'546'475 de l'office, portant sur le montant de 8'200 fr. avec intérêt à 8 % l'an dès le 5 février 2012, mentionnant comme titre de la créance ou cause de l'obligation: "Location" et mentionnant, en dessous du tampon "Opposition partielle" : "Conteste Fr. 4'500.-"; attendu que par prononcé du 8 octobre 2013, le Juge de paix du district de Lausanne a rejeté la requête de mainlevée, considérant que la poursuivante n'avait produit aucune pièce valant reconnaissance de dette;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devant permettre au juge de la mainlevée de statuer sans se livrer à des calculs compliqués et peu sûrs (Gilliéron, op. cit., n. 42 ad art. 82 LP), qu'en l'espèce, la poursuivante n'a produit aucune pièce signée du poursuivi dont il résulterait un quelconque engagement de ce dernier de payer à la poursuivante le montant réclamé en poursuite, qu'ainsi, la poursuivante ne dispose d'aucune reconnaissance de dette valant titre de mainlevée, que les arguments invoqués par la poursuivante à l'appui de son recours – ayant trait au fait que le poursuivi devrait tenir ses engagements – ne sauraient être accueillis dans le cadre de la présente procédure, qu'en effet, le juge de la mainlevée ne statue pas sur le fond du litige, mais seulement sur la continuation de la poursuite, que la requête de mainlevée doit être rejetée, que la poursuivante peut requérir la continuation de la poursuite concernant le montant de 3'700 fr., l'opposition faite au commandement de payer ne portant que sur 4'500 fr. (art. 88 al. 1 LP); attendu que le recours, manifestement infondé au sens de l'art. 322 al. 1 CPC, doit être rejeté, que les frais de deuxième instance, arrêtés à 360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16 mai 2014 L'arrêt qui précède, dont la rédaction a été approuvée à huis clos, prend date de ce jour. Il est notifié, par l'envoi de photocopies, à : ‑ K.________, ‑ M. F.________. La Cour des poursuites et faillites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