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111 vom 3. April 2014</w:t>
      </w:r>
    </w:p>
    <w:p>
      <w:r>
        <w:t>VD Tribunal cantonal, 2014-04-03, FR</w:t>
      </w:r>
    </w:p>
    <w:p>
      <w:r>
        <w:rPr>
          <w:b/>
        </w:rPr>
        <w:t xml:space="preserve">Quelle: </w:t>
      </w:r>
      <w:r>
        <w:t>https://mcp.opencaselaw.ch/entscheid/vd_findinfo_ML___2014___111</w:t>
      </w:r>
    </w:p>
    <w:p>
      <w:r>
        <w:t>FR: VD_FINDINFO ML / 2014 / 111 du 3 avril 2014</w:t>
      </w:r>
    </w:p>
    <w:p>
      <w:r>
        <w:t>IT: VD_FINDINFO ML / 2014 / 111 del 3 aprile 2014</w:t>
      </w:r>
    </w:p>
    <w:p>
      <w:pPr>
        <w:pStyle w:val="Heading2"/>
      </w:pPr>
      <w:r>
        <w:t>Regeste</w:t>
      </w:r>
    </w:p>
    <w:p>
      <w:r>
        <w:t>MAINLEVÉE DÉFINITIVE, CONDITION DE RECEVABILITÉ, MOTIVATION DE LA DEMANDE | 69 al. 2 ch. 1 LP, 80 LP, 142 al. 3 CPC (CH), 321 CPC (CH)</w:t>
      </w:r>
    </w:p>
    <w:p>
      <w:pPr>
        <w:pStyle w:val="Heading2"/>
      </w:pPr>
      <w:r>
        <w:t>Erwägungen</w:t>
      </w:r>
    </w:p>
    <w:p>
      <w:r>
        <w:rPr>
          <w:b/>
        </w:rPr>
        <w:t>E. 17</w:t>
      </w:r>
    </w:p>
    <w:p>
      <w:r>
        <w:t>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17 décembre 2013/501 ; CPF, 16 mars 2012/80; CPF, 9 janvier 2012/20; CPF, 4 mars 2010/100; CPF, 29 octobre 2009/369). En particulier, la cour de céans a abandonné la distinction opérée antérieurement entre l'absence d'indication de la période - qui ne pouvait être attaquée que par la voie de la plainte et ne pouvait motiver un rejet de la requête de mainlevée - et l'erreur d'indication de la période - qui pouvait aboutir à un rejet de la requête de mainlevée pour défaut d'identité entre la créance reconnue dans le titre et celle en poursuite. Cette distinction aboutissait en effet à des inégalités de traitement qui n'étaient pas justifiées et à soustraire à l'examen du juge de la mainlevée la désignation suffisante de la créance sur le commandement de payer (CPF, 29 octobre 2009/369 précité et les réf. citées). Dans un arrêt plus récent,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SchKG [LP]). b) En l'espèce, le commandement de payer la somme de 55'000 fr. sous déduction de la somme de 23'197 fr. fait uniquement référence au jugement rendu par le Tribunal de première instance de la République et canton de Genève le 30 octobre 2012. Il ne fournit en revanche aucune indication relative aux périodes pour lesquelles les contributions d'entretien sont exigées pas plus qu'il ne précise, du reste, que ce sont bien les prestations d'entretien qui sont exigées. L'identité entre la créance en poursuite et celle constatée dans le titre produit ne peut ainsi être déterminée avec précision. On peut du reste noter que même les explications fournies par l'intimée dans sa requête de mainlevée étaient insuffisantes pour lever toute ambiguïté, les calculs présentés ne permettant pas de comprendre comment elle justifiait la somme de 55'000 francs. C'est donc à tort que le premier juge a prononcé la mainlevée définitive de l'opposition. III. Au vu ce qui précède, le recours doit être admis et le prononcé réformé en ce sens que l'opposition est maintenue. Les frais judiciaires de première instance, arrêtés à 360 fr., sont mis à la charge de la poursuivante, qui en a déjà fait l'avance . Cette dernière doit payer au poursuivi la somme de 1'500 fr. à titre de dépens de première instance ( art. 6 TDC [tarif des dépens en matière civile; RSV 270.11.6]). Les frais judiciaires de deuxième instance, arrêtés à 570 fr., compensés avec l'avance de frais du recourant, doivent être mis à la charge de l'intimée. Cette dernière doit payer au recourant la somme de 1'570 fr.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