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104 vom 17. April 2014</w:t>
      </w:r>
    </w:p>
    <w:p>
      <w:r>
        <w:t>VD Tribunal cantonal, 2014-04-17, FR</w:t>
      </w:r>
    </w:p>
    <w:p>
      <w:r>
        <w:rPr>
          <w:b/>
        </w:rPr>
        <w:t xml:space="preserve">Quelle: </w:t>
      </w:r>
      <w:r>
        <w:t>https://mcp.opencaselaw.ch/entscheid/vd_findinfo_ML___2014___104</w:t>
      </w:r>
    </w:p>
    <w:p>
      <w:r>
        <w:t>FR: VD_FINDINFO ML / 2014 / 104 du 17 avril 2014</w:t>
      </w:r>
    </w:p>
    <w:p>
      <w:r>
        <w:t>IT: VD_FINDINFO ML / 2014 / 104 del 17 aprile 2014</w:t>
      </w:r>
    </w:p>
    <w:p>
      <w:pPr>
        <w:pStyle w:val="Heading2"/>
      </w:pPr>
      <w:r>
        <w:t>Regeste</w:t>
      </w:r>
    </w:p>
    <w:p>
      <w:r>
        <w:t>MOTIF DU RECOURS, CONDITION DE RECEVABILITÉ | 321 al. 1 CPC (CH)</w:t>
      </w:r>
    </w:p>
    <w:p>
      <w:pPr>
        <w:pStyle w:val="Heading2"/>
      </w:pPr>
      <w:r>
        <w:t>Volltext</w:t>
      </w:r>
    </w:p>
    <w:p>
      <w:r>
        <w:t>Vaud Tribunal cantonal Cour des poursuites et faillites 17.04.2014 ML / 2014 / 104</w:t>
      </w:r>
    </w:p>
    <w:p>
      <w:r>
        <w:t>MOTIF DU RECOURS, CONDITION DE RECEVABILITÉ | 321 al. 1 CPC (CH)</w:t>
      </w:r>
    </w:p>
    <w:p>
      <w:r>
        <w:t>TRIBUNAL CANTONAL KC13.043444-140459 151 Cour des poursuites et faillites ________________________________________________ Arrêt du 17 avril 2014 __________________ Présidence de               M. Sauterel , président Juges :              Mme Carlsson et M. Hack Greffier : Mme              Debétaz Ponnaz ***** Art. 321 al. 1 CPC Vu la décision rendue le 12 novembre 2013, à la suite de l'audience du 11 novembre 2013 tenue par défaut des parties, par le Juge de paix du district du Gros-de-Vaud, prononçant la mainlevée définitive, à concurrence de 660 fr. sans intérêt, de l'opposition formée par R.________ , à Cugy, à la poursuite n° 6'755'692 de l'Office des poursuites du district du Gros-de-Vaud exercée contre lui à l'instance de l' Etat de Vaud , représenté par le Service juridique et législatif, Secteur recouvrement-Notes de frais pénaux , arrêtant à 120 fr. les frais judiciaires, compensés avec l'avance de frais du poursuivant, les mettant à la charge du poursuivi et disant que celui-ci doit en conséquence rembourser au poursuivant son avance de frais à concurrence de 120 francs, sans allocation de dépens pour le surplus, vu la demande de motivation formulée par le poursuivi le 15 novembre 2013, vu les motifs du prononcé de mainlevée adressés pour notification aux parties le 11 février 2014, vu la lettre datée du 14 et postée le 17 février 2014, adressée au juge de paix par R.________, disant notamment qu'il ne croyait "plus du tout en la justice de ce pays, surtout lorsqu'elle se permet de faire n'importe quoi" et qu'il était "dépité", vu sa réponse du 5 mars 2014 à une lettre du juge de paix du 3 mars 2014, précisant qu'il entendait faire recours, vu la transmission du dossier par le juge de paix à la cour de céans, autorité de recours, le 12 mars 2014; attendu que le recours au sens des art. 319 ss CPC [Code de procédure  civile;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doit être également appliqué dans la procédure de recours régie par le CPC (Tappy, Les voies de droit du nouveau Code de procédure civile, in JT 2010 III 115, spéc. p. 131), que le recours adressé le 17 février 2014 au Juge de paix du district du Gros-de-Vaud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réformée et prendre des conclusions au fond tendant à l'annulation ou à la réforme de cette décision (CREC, 13 octobre 2011/187; Jeandin, op. cit., nn. 3 et 5 ad art. 31 CPC),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la lettre datée du 14 et postée le 17 février 2014, dont  R.________ a précisé qu'il s'agissait d'un recours, ne contient aucune conclusion ni aucun grief, motif ou moyen de recours reconnaissable contre la décision de mainlevée, son auteur faisant seulement état de son mécontentement et de son sentiment d'être inutilement "embêté" par la justice, qu'il n'indique en aucune manière pour quel motif et en quoi la décision de mainlevée devrait être modifiée ou annulée, que l'absence de motivation du recours est un vice qui n'est pas réparable,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de R.________,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avril 2014 L'arrêt qui précède, dont la rédaction a été approuvée à huis clos, prend date de ce jour. Il est notifié, par l'envoi de photocopies, à : ‑ M. R.________, ‑ Etat de Vaud, Service juridique et législatif, Secteur recouvrement-Notes de frais pénaux.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