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100 vom 10. März 2014</w:t>
      </w:r>
    </w:p>
    <w:p>
      <w:r>
        <w:t>VD Tribunal cantonal, 2014-03-10, FR</w:t>
      </w:r>
    </w:p>
    <w:p>
      <w:r>
        <w:rPr>
          <w:b/>
        </w:rPr>
        <w:t xml:space="preserve">Quelle: </w:t>
      </w:r>
      <w:r>
        <w:t>https://mcp.opencaselaw.ch/entscheid/vd_findinfo_ML___2014___100</w:t>
      </w:r>
    </w:p>
    <w:p>
      <w:r>
        <w:t>FR: VD_FINDINFO ML / 2014 / 100 du 10 mars 2014</w:t>
      </w:r>
    </w:p>
    <w:p>
      <w:r>
        <w:t>IT: VD_FINDINFO ML / 2014 / 100 del 10 marzo 2014</w:t>
      </w:r>
    </w:p>
    <w:p>
      <w:pPr>
        <w:pStyle w:val="Heading2"/>
      </w:pPr>
      <w:r>
        <w:t>Regeste</w:t>
      </w:r>
    </w:p>
    <w:p>
      <w:r>
        <w:t>MAINLEVÉE PROVISOIRE, PRÊT DE CONSOMMATION, PORTE-FORT, CAUTIONNEMENT, INTERPRÉTATION{SENS GÉNÉRAL} | 111 CO, 18 CO, 492 CO, 82 LP</w:t>
      </w:r>
    </w:p>
    <w:p>
      <w:pPr>
        <w:pStyle w:val="Heading2"/>
      </w:pPr>
      <w:r>
        <w:t>Erwägungen</w:t>
      </w:r>
    </w:p>
    <w:p>
      <w:r>
        <w:rPr>
          <w:b/>
        </w:rPr>
        <w:t>E. 10</w:t>
      </w:r>
    </w:p>
    <w:p>
      <w:r>
        <w:t>qui est un extrait du registre du commerce et constitue un fait notoire (ATF 138 II 557; 135 III 88, c. 4.1; TF 4A_645/2011 du 27 janvier 2012 c. 3.4.2) , ne sont pas recevables. En effet, les conclusions, les allégations de fait et les preuves nouvelles sont irrecevables dans cette procédure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II 257 ss, n. 17, p. 267). La réponse de l'intimé est également recevable (art. 322 CPC). La détermination spontanée du recourant est également recevable en vertu du droit à la réplique de la partie recourante (Jeandin, Code de procédure civile commenté, n. 4 ad art. 322 CPC; Spühler, Commentaire bernois, n° 7 ad 322 CPC).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136 III 627 c. 2; 136 III 624 c. 4.2.2;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de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En l'espèce, l'intimé a signé le 24 novembre 2009 un document dans lequel il se porte garant, à titre personnel, à hauteur de 35'600 fr. plus intérêt des prêts de 150'000 fr. et de 10'000 fr. effectués les 10 février et 11 mai 2009 en faveur de la société G.________ SA. Cette société a depuis lors été radiée. Il n'est pas contesté que le prêt garanti n'a pas été remboursé. Le document signé le 24 novembre 2009 par l'intimé constitue ainsi, en principe, un titre de mainlevée provisoire. b) L'intimé soutient toutefois que cet engagement constituerait un cautionnement, nul en la forme. En vertu de l'art. 82 al. 2 LP, le juge prononce la mainlevée provisoire de l'opposition, à moins que le débiteur ne rende vraisemblable sa libération. La vraisemblance du moyen libératoire suffit à mettre en échec la requête de mainlevée provisoire (Gilliéron, op. cit., n. 82 ad art. 82 LP). Cela signifie que les faits pertinents doivent simplement être vraisemblables :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précité c. 4.1.2, rés. in JT 2006 II 187; TF 5A_652/2011 du 28 février 2012 c. 3.2.2; CPF, 25 novembre 2010/452 et les références citées; Staehelin, Basler Kommentar, nn. 87 à 89 ad art. 82 LP et les références citées). Parmi les moyens libératoires figurent ceux que le juge peut ou doit relever d'office, notamment ceux de la violation de règles impératives prescrites à peine de nullité, en particulier les règles de formes imposées par l'art. 493 CO ( Code des obligations du 30 mars 1911; RS 220) pour la validité d'un acte de cautionnement (TF 5A_849/2012 et les réf. citées; Gilliéron, op. cit., nn. 75 et 81 ad art. 82 LP). Selon la jurisprudence, une personne peut garantir le paiement d'un tiers débiteur par l'intermédiaire de plusieurs instruments juridiques, tels que l'engagement solidaire, le cautionnement ou le porte-fort. La distinction entre ces différents instruments n'est cependant pas toujours aisée. L'engagement solidaire, qui est dit reprise cumulative de dette si l'engagement est pris alors que le débiteur s'est déjà engagé, naît lorsque le garant déclare au créancier qu'il pourra être recherché au même titre et pour les mêmes prestations que le débiteur (art 143 al. 1 CO). Le contrat sur lequel repose la solidarité passive n'est soumis à aucune forme (ATF 129 III 702 c. 2.1, JT 2004 I 535; TF 4C.24/2007 du 26 avril 2007 c. 5). En l'espèce, les parties ont toutefois expressément exclu la solidarité en stipulant, au chiffre 7 du contrat signé, que les actionnaires n'étaient pas solidairement responsables de la dette. Cette forme de garantie paraît dès lors pouvoir être exclue. Celui qui se porte fort promet au bénéficiaire (ou stipulant) le fait d'un tiers et s'engage à lui payer des dommages-intérêts si ce tiers ne s'exécute pas (art. 111 CO). Dans la promesse de porte-fort analogue au cautionnement, le fait promis consiste en l'exécution d'une obligation du tiers envers le stipulant (TF 4A_290 et 292/2007 du 10 décembre 2007 c. 6.1; ATF 125 III 305 c. 2b, JT 2000 I 635 et les réf. citées). Dans tous les cas, celui qui se porte fort assume une obligation indépendante; celle-ci peut exister même si le tiers n'est pas débiteur du bénéficiaire ou si son obligation est nulle ou invalidée (TF 4A_290 et 292/2007 du 10 décembre 2007 c. 6.1; ATF 125 III 305 c. 2b, JT 2000 I 635 précité). Le contrat n'est pas soumis à une forme particulière (art. 11 CO), à moins que les parties n'en aient réservé une (art 16 CO). En cas de cautionnement, la caution s'engage envers le créancier principal à garantir le paiement de la dette contractée par un tiers, le débiteur principal (art. 492 al. 1 CO). Le cautionnement présuppose l'existence d'un autre engagement, celui qui doit être garanti. Il constitue une adjonction à cet engagement et en dépend nécessairement pour son existence et son objet; de nature accessoire, il garantit la solvabilité du débiteur ou l'exécution d'un contrat (ATF 129 III 702 c. 2.1, JT 2004 I 535; ATF 113 II 434 c. 2a, JT 1988 I 185; ATF 111 II 276 c. 2b, rés. in JT 1986 I 255). Lorsque la caution est une personne physique et que le cautionnement dépasse la somme de 2'000 fr., la déclaration de cautionnement doit revêtir la forme authentique (art. 493 al. 2 CO). Le critère de distinction essentiel entre ces deux dernières espèces de garantie réside dans l'accessoriété, c'est-à-dire le lien de dépendance de l'engagement de la caution à l'égard de l'obligation du débiteur principal (ATF 128 III 295; 125 III 305 c. 2b, JT 2000 I 635; ATF 113 II 434 c. 2b, JT 1988 I 185; ATF 111 II 276 c. 2b, rés. in JT 1986 I 255). Dans le cautionnement - contrat accessoire, le garant assure la solvabilité du débiteur ou l'exécution d'un contrat, alors que le porte-fort promet au stipulant une prestation comme telle, indépendamment de l'obligation du tiers (ATF 125 III 305 c. 2b, JT 2000 I 635; ATF 113 II 434 c. 2b, JT 1988 I 185; TF 4C.19/1988 du 25 juillet 1988 c. 1a, publié in SJ 1988 p. 552). Pour qualifier un contrat comme pour l'interpréter, le juge doit recourir en premier lieu à l'interprétation dite subjective, c'est-à-dire rechercher la « réelle et commune intention des parties », le cas échéant empiriquement, sur la base d'indices (art. 18 al. 1 CO; ATF 131 III 606 c. 4.1, rés. in JT 2006 I 126; ATF 125 III 305 c. 2b, JT 2000 I 635 précité).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606 c. 4.1, rés. in JT 2006 I 126; ATF 129 III 702 c. 2.4, JT 2004 I 535). Dans l'application de ce principe, le juge n'est pas lié par les termes que les parties ont utilisés lors de la rédaction de leur accord. Il deviendrait sinon facile d'éluder la protection dont bénéficie une caution, en intitulant le contrat « porte-fort », alors même que la partie qui s'engage ne connaît pas l'usage de ce terme. Une interprétation littérale stricte ne se justifie par conséquent que lorsque les parties sont rompues à l'usage de ces termes, ou qu'elles sont au bénéfice d'une formation juridique (Tercier/Favre/Eigemann, les contrats spéciaux, 4 e édition, n° 7184, et les nombreuses références citées). Selon la jurisprudence, l'existence d'un intérêt personnel du garant à l'affaire constitue un indice important en faveur de l'existence d'un porte-fort (ATF 129 III 702 c. 2.6 et les références citées, JT 2004 I 535). La jurisprudence voit en outre un indice en faveur d'un engagement indépendant - porte-fort - si la somme que le garant s'engage à payer ne correspond pas à celle due par le débiteur principal ou n'est pas définie par référence à celle-ci (ATF 128 III 295 c. 2d/bb et la référence citée), si l'engagement est pris à un moment où l'on sait que le débiteur principal ne pourra probablement pas s'exécuter (ATF 128 III 295 c. 2d/bb précité; 125 III 305 c. 2b, JT 2000 I 635 précité; TF 4C.19/1988 du 25 juillet 1988 c. 1c/aa, publié in SJ 1988 p. 553) ou si l'on peut penser que l'engagement aurait été pris même si l'obligation du débiteur principal n'existait pas, était nulle ou invalidée (ATF 128 III 295 c. 2d/bb précité; 125 III 305 c. 2b, JT 2000 I 635 précité). Inversement, elle voit plutôt un indice en faveur du cautionnement, soit d'un engagement accessoire, lorsque l'obligation du garant correspond exactement à celle du débiteur principal et qu'elle est définie entièrement par référence à celle-ci (ATF 125 III 305 c. 2b, JT 2000 I 635 précité). En cas de doute sur la nature de l'engagement, le cautionnement a la préférence, compte tenu du but de protection dévolu aux art. 492 ss CO (ATF 129 III 702 c. 2.5, JT 2004 I 535; TF 4C.274/2001 du 9 avril 2002 c. 3 et les réf. citées, publié in SJ 2002 I 574; ATF 113 II 434 c. 2c, JT 1988 I 185). En l'espèce, l'intimé était actionnaire et administrateur de la société emprunteuse au moment de la signature de l'engagement : il est dès lors incontestable qu'en raison de cette position, il avait un intérêt personnel et matériel à l'accord (ATF 129 III 702 c. 2.6). La faillite de la société a par ailleurs été prononcée le 2 décembre 2010, soit à peine une année après le contrat passé le 24 novembre 2009. On peut ainsi considérer que l'intimé a pris cet engagement en sachant qu'il était à tout le moins probable que la débitrice principale ne pourrait pas s'exécuter. Ces deux indices importants permettent de retenir, au stade de la mainlevée, que l'engagement pris par l'intimé le 24 novembre 2009 ne constitue pas un cautionnement mais un engagement indépendant, soit un porte-fort soumis à aucune forme particulière. Il appartiendra, le cas échéant, à l'intéressé de se pourvoir en libération de dette (art. 83 al. 2 LP) pour faire trancher définitivement la question au terme d'une instruction complète. En définitive, il faut donc considérer que le recourant dispose bien d'un titre de mainlevée valable pour la somme de 35'600 fr. plus intérêts. c) Le recourant admet que l'intimé s'est déjà acquitté d'une somme de 8’533 fr., ce qui ramène le capital dû à 27'067 francs. Il ajoute à ce montant une somme de 6’496 fr. 08 correspondant à un taux d'intérêt de 12 %, calculé sur le montant de 27'067 fr., pour la période du 1 er janvier 2011 au 1 er janvier 2013, ce qui est conforme au contrat, et en particulier à son chiffre 6. Le montant indiqué dans le commandement de payer notifié le 30 avril 2013 est ainsi justifié (35'600 fr. - 8’533 fr. + 6’496 fr. 08 = 33'563 fr. 05). Le recourant revendique en outre un intérêt de 5 % sur la totalité de ce montant à compter du 23 mars 2013. En raison de l'interdiction de l'anatocisme, cet intérêt ne peut toutefois être alloué que sur la somme due en capital, soit 27'067 francs. III. En conclusion, le recours doit être admis et le prononcé réformé en ce sens que l'opposition est provisoirement levée à concurrence de 33'563 fr. 05 plus intérêts à 5 % l'an dès le 23 mars 2013 sur la somme de 27'067 francs. Les frais judiciaires de première instance, arrêtés à 360 fr., sont mis à la charge du poursuivi. Celui-ci doit en outre payer au poursuivant une somme de 1’500 fr. à titre de dépens de première instance (art. 6 TDC [Tarif des dépens en matière civile du 23 novembre 2010; RSV 270.11.6]). Les frais judiciaires de deuxième instance, arrêtés à 570 fr., sont mis à la charge de l'intimé qui succombe (art. 106 al. 1 CPC). Celui-ci doit en outre verser au recourant la somme de 1’000 fr. à titre de dépens de deuxième instance (art. 8 TDC)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