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VD_FINDINFO ML / 2013 / 87 vom 11. April 2013</w:t>
      </w:r>
    </w:p>
    <w:p>
      <w:r>
        <w:t>VD Tribunal cantonal, 2013-04-11, FR</w:t>
      </w:r>
    </w:p>
    <w:p>
      <w:r>
        <w:rPr>
          <w:b/>
        </w:rPr>
        <w:t xml:space="preserve">Quelle: </w:t>
      </w:r>
      <w:r>
        <w:t>https://mcp.opencaselaw.ch/entscheid/vd_findinfo_ML___2013___87</w:t>
      </w:r>
    </w:p>
    <w:p>
      <w:r>
        <w:t>FR: VD_FINDINFO ML / 2013 / 87 du 11 avril 2013</w:t>
      </w:r>
    </w:p>
    <w:p>
      <w:r>
        <w:t>IT: VD_FINDINFO ML / 2013 / 87 del 11 aprile 2013</w:t>
      </w:r>
    </w:p>
    <w:p>
      <w:pPr>
        <w:pStyle w:val="Heading2"/>
      </w:pPr>
      <w:r>
        <w:t>Regeste</w:t>
      </w:r>
    </w:p>
    <w:p>
      <w:r>
        <w:t>CALCUL DU DÉLAI, DÉLAI, DÉLAI DE GARDE, OBSERVATION DU DÉLAI, NOTIFICATION DE LA DÉCISION | 138 al. 3 let. a CPC (CH), 142 al. 1 CPC (CH), 239 al. 1 CPC (CH)</w:t>
      </w:r>
    </w:p>
    <w:p>
      <w:pPr>
        <w:pStyle w:val="Heading2"/>
      </w:pPr>
      <w:r>
        <w:t>Erwägungen</w:t>
      </w:r>
    </w:p>
    <w:p>
      <w:r>
        <w:rPr>
          <w:b/>
        </w:rPr>
        <w:t>E. 12</w:t>
      </w:r>
    </w:p>
    <w:p>
      <w:r>
        <w:t>juin 2012. Le recourant pouvait ensuite retirer l'envoi à la poste entre le 13 et le 19 juin 2012. Le délai de garde est ainsi arrivé à échéance le 19 juin 2012, de sorte que le délai pour demander la motivation écrite du prononcé à commencé à courir le lendemain, soit le 20 juin 2012; il est arrivé à échéance le 29 juin 2012. La demande de motivation présentée par le poursuivi le 29 juin 2012 a donc été formulée en temps utile. III. En définitive, le recours doit être admis et le prononcé attaqué annulé, le dossier étant retourné à l'autorité précédente afin qu'elle procède à la motivation du prononcé de mainlevée du 11 juin 2012. Les frais de deuxième instance, arrêtés à 510 fr., sont laissés à la charge de l'Etat (art. 107 al. 2 CPC). Il n'est pas alloué de dépens de deuxième instance.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