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84 vom 19. März 2013</w:t>
      </w:r>
    </w:p>
    <w:p>
      <w:r>
        <w:t>VD Tribunal cantonal, 2013-03-19, FR</w:t>
      </w:r>
    </w:p>
    <w:p>
      <w:r>
        <w:rPr>
          <w:b/>
        </w:rPr>
        <w:t xml:space="preserve">Quelle: </w:t>
      </w:r>
      <w:r>
        <w:t>https://mcp.opencaselaw.ch/entscheid/vd_findinfo_ML___2013___84</w:t>
      </w:r>
    </w:p>
    <w:p>
      <w:r>
        <w:t>FR: VD_FINDINFO ML / 2013 / 84 du 19 mars 2013</w:t>
      </w:r>
    </w:p>
    <w:p>
      <w:r>
        <w:t>IT: VD_FINDINFO ML / 2013 / 84 del 19 marzo 2013</w:t>
      </w:r>
    </w:p>
    <w:p>
      <w:pPr>
        <w:pStyle w:val="Heading2"/>
      </w:pPr>
      <w:r>
        <w:t>Regeste</w:t>
      </w:r>
    </w:p>
    <w:p>
      <w:r>
        <w:t>ACTE DE RECOURS, MOTIF DU RECOURS, OBJET DU RECOURS, DÉCISION D'IRRECEVABILITÉ | 132 CPC (CH), 321 al. 1 CPC (CH), 56 CPC (CH)</w:t>
      </w:r>
    </w:p>
    <w:p>
      <w:pPr>
        <w:pStyle w:val="Heading2"/>
      </w:pPr>
      <w:r>
        <w:t>Volltext</w:t>
      </w:r>
    </w:p>
    <w:p>
      <w:r>
        <w:t>Vaud Tribunal cantonal Cour des poursuites et faillites 19.03.2013 ML / 2013 / 84</w:t>
      </w:r>
    </w:p>
    <w:p>
      <w:r>
        <w:t>ACTE DE RECOURS, MOTIF DU RECOURS, OBJET DU RECOURS, DÉCISION D'IRRECEVABILITÉ | 132 CPC (CH), 321 al. 1 CPC (CH), 56 CPC (CH)</w:t>
      </w:r>
    </w:p>
    <w:p>
      <w:r>
        <w:t>TRIBUNAL CANTONAL KC12.031825-130366 121 Cour des poursuites et faillites ________________________________________________ Arrêt du 19 mars 2013 __________________ Présidence de               M. Sauterel , président Juges :              M. Hack et Mme Rouleau Greffier : Mme              van Ouwenaller ***** Art. 321 al. 1 CPC Vu la décision rendue le 8 novembre 2012, à la suite de l'interpellation du poursuivi, par le Juge de paix du district du Gros-de-Vaud, prononçant la mainlevée définitive, à concurrence de 688 fr. avec intérêt à 3.5 % l'an dès le 18 octobre 2010, de l'opposition formée par P.________ , à Penthalaz, au commandement de payer qui lui avait été notifié le 5 septembre 2011, dans la poursuite n° 5'924'726 de l'Office des poursuites du district du Gros-de-Vaud, exercée à l'instance de la Confédération suisse , arrêtant à 120 fr. les frais judiciaires mis à la charge du poursuivi et disant qu'en conséquence celui-ci rembourserait à la poursuivante son avance de frais à concurrence de 120 fr., sans allocation de dépens pour le surplus, vu le prononcé motivé adressé aux parties le 6 février 2013 et notifié au poursuivi le lendemain, vu le recours formé par la [...], représentante de P.________, contre ce prononcé, adressé le 18 février 2013 à la cour de céans; attendu que le recours contre une décision prise en procédure sommaire de mainlevée s'exerce dans un délai de dix jours suivant la notification de cette décision motivée (art. 321 al. 2 CPC [Code de procédure civile du 19 décembre 2008; RS 272]), que l'art. 321 al. 1 CPC exige que le recours soit écrit et motivé, mais ne fait pas expressément des conclusions formelles une condition de recevabilité du recours, qu'ainsi, au minimum, la motivation du recours doit permettre de comprendre ce que le recourant veut obtenir (CPF, 16 juillet 2012/238; Jeandin, Code de procédure civile commenté, n. 3 ad art. 311 CPC in fine), qu'en l'espèce, l'échéance du délai de dix jours dont disposait le poursuivi pour recourir contre le prononcé dont les motifs lui ont été notifiés le 7 février 2013 tombait le dimanche 17 février 2013 et a été reportée au lundi 18 février 2013. que le recours a en conséquence été déposé à temps, que dans son acte de recours, la représentante du recourant a indiqué être actuellement en négociation avec le Préposé de l'Office d'impôt du district de Morges, sans préciser cependant quel était le but de son recours, qu'ainsi, cet acte n'est pas motivé, c'est-à-dire qu'il ne comporte l'indication d'aucun moyen ou grief contre la décision de mainlevée,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op. cit., n. 6 ad art. 321 CPC et n. 9 ad art. 311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qu'en conclusion, le recours de P.________ est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19 mars 2013 L'arrêt qui précède, dont la rédaction a été approuvée à huis clos, prend date de ce jour. Il est notifié, par l'envoi de photocopies, à : ‑ M. P.________, ‑ La Confédération suisse. La Cour des poursuites et faillites considère que la valeur litigieuse est de 668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