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5 vom 16. Januar 2013</w:t>
      </w:r>
    </w:p>
    <w:p>
      <w:r>
        <w:t>VD Tribunal cantonal, 2013-01-16, FR</w:t>
      </w:r>
    </w:p>
    <w:p>
      <w:r>
        <w:rPr>
          <w:b/>
        </w:rPr>
        <w:t xml:space="preserve">Quelle: </w:t>
      </w:r>
      <w:r>
        <w:t>https://mcp.opencaselaw.ch/entscheid/vd_findinfo_ML___2013___5</w:t>
      </w:r>
    </w:p>
    <w:p>
      <w:r>
        <w:t>FR: VD_FINDINFO ML / 2013 / 5 du 16 janvier 2013</w:t>
      </w:r>
    </w:p>
    <w:p>
      <w:r>
        <w:t>IT: VD_FINDINFO ML / 2013 / 5 del 16 gennaio 2013</w:t>
      </w:r>
    </w:p>
    <w:p>
      <w:pPr>
        <w:pStyle w:val="Heading2"/>
      </w:pPr>
      <w:r>
        <w:t>Regeste</w:t>
      </w:r>
    </w:p>
    <w:p>
      <w:r>
        <w:t>DÉCISION D'IRRECEVABILITÉ, ACTE DE RECOURS, MOTIF DU RECOURS | 321 al. 1 CPC (CH)</w:t>
      </w:r>
    </w:p>
    <w:p>
      <w:pPr>
        <w:pStyle w:val="Heading2"/>
      </w:pPr>
      <w:r>
        <w:t>Volltext</w:t>
      </w:r>
    </w:p>
    <w:p>
      <w:r>
        <w:t>Vaud Tribunal cantonal Cour des poursuites et faillites 16.01.2013 ML / 2013 / 5</w:t>
      </w:r>
    </w:p>
    <w:p>
      <w:r>
        <w:t>DÉCISION D'IRRECEVABILITÉ, ACTE DE RECOURS, MOTIF DU RECOURS | 321 al. 1 CPC (CH)</w:t>
      </w:r>
    </w:p>
    <w:p>
      <w:r>
        <w:t>TRIBUNAL CANTONAL KC12.039464-122338 22 Cour des poursuites et faillites ________________________________________________ Arrêt du 16 janvier 2013 __________________ Présidence de               M. Sauterel , président Juges :              Mmes Carlsson et Rouleau Greffier : Mme              Nüssli ***** Art. 321 al. 1 CPC Vu le prononcé rendu le 13 novembre 2012, à la suite de l'audience du 8 novembre 2012, par le Juge de paix du district de Morges, rejetant la requête de mainlevée déposée par L.________ Sàrl , à St-Prex, dans la poursuite n° 6'353'217 de l'Office des poursuites du district de Morges exercée à son instance contre B.________ , à Apples, vu la demande de motivation déposée le 29 novembre 2012 par la poursuivante, qui a reçu le dispositif de la décision le 21 novembre 2012, vu le prononcé motivé adressé pour notification aux parties le 13 décembre 2012, vu le recours, déposé le 20 décembre 2012 par la poursuivante, qui indique qu'elle enverra ultérieurement un mémoire écrit et motivé, vu la lettre adressée le même jour au juge de paix dans laquelle la recourante se dit scandalisée par la décision; attendu que le recours a été déposé dans le délai de dix jours prévu par l'art. 321 al. 2 CPC (Code de procédure civile du 19 décembre 2008; RS 272), soit en temps utile, que, selon l'art. 321 al. 1 CPC, le recours s'exerce par le dépôt d'un acte écrit et motivé, que la motivation de l'acte, soit l'indication des motifs du recours, est une condition de recevabilité du recours, que l'indication des voies de recours figurant dans le prononcé attaqué mentionne expressément l'exigence d'un acte de recours écrit et motivé, qu'en l'espèce, l'acte du 20 décembre 2012 n'est pas motivé, pas plus que le courrier adressé le même jour au premier juge, que la recourante a annoncé son intention de déposer ultérieurement un mémoire écrit et motivé, qu'une telle écriture n'est pas recevable, le recours, comme l'appel, devant être déclaré et introduit par le biais d'une seule écriture déposée dans le délai légal (Jeandin, Code de procédure civile commenté, n. 9 ad art. 311 CPC),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20 décembre 2012 ne satisfait pas aux exigences de forme posées par la loi, que le recours est par conséquent irrecevable;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16 janvier 2013 L'arrêt qui précède, dont la rédaction a été approuvée à huis clos, prend date de ce jour. Il est notifié, par l'envoi de photocopies, à : ‑ L.________ Sàrl, ‑ Mme B.________. La Cour des poursuites et faillites considère que la valeur litigieuse est de 3'056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